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292" w:rsidRPr="00996C2D" w:rsidRDefault="00FA1292">
      <w:pPr>
        <w:rPr>
          <w:b/>
          <w:sz w:val="36"/>
        </w:rPr>
      </w:pPr>
      <w:r w:rsidRPr="00996C2D">
        <w:rPr>
          <w:b/>
          <w:sz w:val="36"/>
        </w:rPr>
        <w:t xml:space="preserve">What do we know about Joshua?  </w:t>
      </w:r>
      <w:r w:rsidR="007B3506">
        <w:rPr>
          <w:b/>
          <w:sz w:val="36"/>
        </w:rPr>
        <w:t>(25 references)</w:t>
      </w:r>
    </w:p>
    <w:tbl>
      <w:tblPr>
        <w:tblStyle w:val="TableGrid"/>
        <w:tblW w:w="10795" w:type="dxa"/>
        <w:tblLook w:val="04A0" w:firstRow="1" w:lastRow="0" w:firstColumn="1" w:lastColumn="0" w:noHBand="0" w:noVBand="1"/>
      </w:tblPr>
      <w:tblGrid>
        <w:gridCol w:w="1795"/>
        <w:gridCol w:w="2430"/>
        <w:gridCol w:w="6570"/>
      </w:tblGrid>
      <w:tr w:rsidR="00FA1292" w:rsidTr="00996C2D">
        <w:tc>
          <w:tcPr>
            <w:tcW w:w="1795" w:type="dxa"/>
            <w:shd w:val="clear" w:color="auto" w:fill="BDD6EE" w:themeFill="accent1" w:themeFillTint="66"/>
            <w:vAlign w:val="center"/>
          </w:tcPr>
          <w:p w:rsidR="00FA1292" w:rsidRPr="00FA1292" w:rsidRDefault="00FA1292" w:rsidP="00FA1292">
            <w:pPr>
              <w:jc w:val="center"/>
              <w:rPr>
                <w:sz w:val="32"/>
              </w:rPr>
            </w:pPr>
            <w:r w:rsidRPr="00FA1292">
              <w:rPr>
                <w:sz w:val="32"/>
              </w:rPr>
              <w:t>Exodus Reference</w:t>
            </w:r>
            <w:r w:rsidR="006A083D">
              <w:rPr>
                <w:sz w:val="32"/>
              </w:rPr>
              <w:t>s</w:t>
            </w:r>
            <w:r w:rsidR="007B3506">
              <w:rPr>
                <w:sz w:val="32"/>
              </w:rPr>
              <w:t xml:space="preserve"> (</w:t>
            </w:r>
            <w:r w:rsidR="006A083D">
              <w:rPr>
                <w:sz w:val="32"/>
              </w:rPr>
              <w:t>7)</w:t>
            </w:r>
          </w:p>
        </w:tc>
        <w:tc>
          <w:tcPr>
            <w:tcW w:w="2430" w:type="dxa"/>
            <w:shd w:val="clear" w:color="auto" w:fill="BDD6EE" w:themeFill="accent1" w:themeFillTint="66"/>
            <w:vAlign w:val="center"/>
          </w:tcPr>
          <w:p w:rsidR="00FA1292" w:rsidRPr="00FA1292" w:rsidRDefault="00FA1292" w:rsidP="00FA1292">
            <w:pPr>
              <w:jc w:val="center"/>
              <w:rPr>
                <w:sz w:val="32"/>
              </w:rPr>
            </w:pPr>
            <w:r w:rsidRPr="00FA1292">
              <w:rPr>
                <w:sz w:val="32"/>
              </w:rPr>
              <w:t>Story</w:t>
            </w:r>
          </w:p>
        </w:tc>
        <w:tc>
          <w:tcPr>
            <w:tcW w:w="6570" w:type="dxa"/>
            <w:shd w:val="clear" w:color="auto" w:fill="BDD6EE" w:themeFill="accent1" w:themeFillTint="66"/>
            <w:vAlign w:val="center"/>
          </w:tcPr>
          <w:p w:rsidR="00FA1292" w:rsidRPr="00FA1292" w:rsidRDefault="00FA1292" w:rsidP="00FA1292">
            <w:pPr>
              <w:jc w:val="center"/>
              <w:rPr>
                <w:sz w:val="32"/>
              </w:rPr>
            </w:pPr>
            <w:r>
              <w:rPr>
                <w:sz w:val="32"/>
              </w:rPr>
              <w:t>Joshua</w:t>
            </w:r>
          </w:p>
        </w:tc>
      </w:tr>
      <w:tr w:rsidR="00FA1292" w:rsidTr="00996C2D">
        <w:tc>
          <w:tcPr>
            <w:tcW w:w="1795" w:type="dxa"/>
          </w:tcPr>
          <w:p w:rsidR="00FA1292" w:rsidRPr="00FA1292" w:rsidRDefault="00FA1292">
            <w:pPr>
              <w:rPr>
                <w:sz w:val="32"/>
              </w:rPr>
            </w:pPr>
            <w:r w:rsidRPr="00FA1292">
              <w:rPr>
                <w:sz w:val="32"/>
              </w:rPr>
              <w:t xml:space="preserve">Exodus </w:t>
            </w:r>
            <w:r>
              <w:rPr>
                <w:sz w:val="32"/>
              </w:rPr>
              <w:t>17:9-14</w:t>
            </w:r>
          </w:p>
        </w:tc>
        <w:tc>
          <w:tcPr>
            <w:tcW w:w="2430" w:type="dxa"/>
            <w:vAlign w:val="center"/>
          </w:tcPr>
          <w:p w:rsidR="00FA1292" w:rsidRPr="00FA1292" w:rsidRDefault="00FA1292" w:rsidP="00FA1292">
            <w:pPr>
              <w:jc w:val="center"/>
              <w:rPr>
                <w:sz w:val="32"/>
              </w:rPr>
            </w:pPr>
            <w:r w:rsidRPr="00FA1292">
              <w:rPr>
                <w:sz w:val="32"/>
              </w:rPr>
              <w:t>Sun stands still</w:t>
            </w:r>
          </w:p>
        </w:tc>
        <w:tc>
          <w:tcPr>
            <w:tcW w:w="6570" w:type="dxa"/>
            <w:vAlign w:val="center"/>
          </w:tcPr>
          <w:p w:rsidR="00FA1292" w:rsidRPr="00FA1292" w:rsidRDefault="00FA1292">
            <w:pPr>
              <w:rPr>
                <w:sz w:val="32"/>
              </w:rPr>
            </w:pPr>
            <w:r w:rsidRPr="00FA1292">
              <w:rPr>
                <w:sz w:val="32"/>
              </w:rPr>
              <w:t>Joshua leads the fightin</w:t>
            </w:r>
            <w:r>
              <w:rPr>
                <w:sz w:val="32"/>
              </w:rPr>
              <w:t xml:space="preserve">g as Moses stands atop the hill.  He “discomfited Amalek and his people.”  </w:t>
            </w:r>
          </w:p>
        </w:tc>
      </w:tr>
      <w:tr w:rsidR="00FA1292" w:rsidTr="00996C2D">
        <w:tc>
          <w:tcPr>
            <w:tcW w:w="1795" w:type="dxa"/>
          </w:tcPr>
          <w:p w:rsidR="00FA1292" w:rsidRPr="00FA1292" w:rsidRDefault="00FA1292">
            <w:pPr>
              <w:rPr>
                <w:sz w:val="32"/>
              </w:rPr>
            </w:pPr>
            <w:r w:rsidRPr="00FA1292">
              <w:rPr>
                <w:sz w:val="32"/>
              </w:rPr>
              <w:t>Exodus 24:13</w:t>
            </w:r>
          </w:p>
        </w:tc>
        <w:tc>
          <w:tcPr>
            <w:tcW w:w="2430" w:type="dxa"/>
            <w:vAlign w:val="center"/>
          </w:tcPr>
          <w:p w:rsidR="00FA1292" w:rsidRPr="00FA1292" w:rsidRDefault="00FA1292" w:rsidP="00FA1292">
            <w:pPr>
              <w:jc w:val="center"/>
              <w:rPr>
                <w:sz w:val="32"/>
              </w:rPr>
            </w:pPr>
            <w:r>
              <w:rPr>
                <w:sz w:val="32"/>
              </w:rPr>
              <w:t>Moses receives the ten commandments</w:t>
            </w:r>
          </w:p>
        </w:tc>
        <w:tc>
          <w:tcPr>
            <w:tcW w:w="6570" w:type="dxa"/>
            <w:vAlign w:val="center"/>
          </w:tcPr>
          <w:p w:rsidR="00FA1292" w:rsidRPr="00FA1292" w:rsidRDefault="00FA1292">
            <w:pPr>
              <w:rPr>
                <w:sz w:val="32"/>
              </w:rPr>
            </w:pPr>
            <w:r>
              <w:rPr>
                <w:sz w:val="32"/>
              </w:rPr>
              <w:t xml:space="preserve">Joshua waits part way up the mountain for Moses, while Moses receives the ten commandments from God.  </w:t>
            </w:r>
          </w:p>
        </w:tc>
      </w:tr>
      <w:tr w:rsidR="00FA1292" w:rsidTr="00996C2D">
        <w:tc>
          <w:tcPr>
            <w:tcW w:w="1795" w:type="dxa"/>
          </w:tcPr>
          <w:p w:rsidR="00FA1292" w:rsidRPr="00FA1292" w:rsidRDefault="00FA1292">
            <w:pPr>
              <w:rPr>
                <w:sz w:val="32"/>
              </w:rPr>
            </w:pPr>
            <w:r w:rsidRPr="00FA1292">
              <w:rPr>
                <w:sz w:val="32"/>
              </w:rPr>
              <w:t>Exodus 32:17</w:t>
            </w:r>
            <w:r w:rsidR="00996C2D">
              <w:rPr>
                <w:sz w:val="32"/>
              </w:rPr>
              <w:t xml:space="preserve"> and 33:11</w:t>
            </w:r>
          </w:p>
        </w:tc>
        <w:tc>
          <w:tcPr>
            <w:tcW w:w="2430" w:type="dxa"/>
            <w:vAlign w:val="center"/>
          </w:tcPr>
          <w:p w:rsidR="00FA1292" w:rsidRPr="00FA1292" w:rsidRDefault="00FA1292" w:rsidP="00FA1292">
            <w:pPr>
              <w:jc w:val="center"/>
              <w:rPr>
                <w:sz w:val="32"/>
              </w:rPr>
            </w:pPr>
            <w:r>
              <w:rPr>
                <w:sz w:val="32"/>
              </w:rPr>
              <w:t>The golden calf</w:t>
            </w:r>
          </w:p>
        </w:tc>
        <w:tc>
          <w:tcPr>
            <w:tcW w:w="6570" w:type="dxa"/>
            <w:vAlign w:val="center"/>
          </w:tcPr>
          <w:p w:rsidR="00FA1292" w:rsidRPr="00FA1292" w:rsidRDefault="00996C2D">
            <w:pPr>
              <w:rPr>
                <w:sz w:val="32"/>
              </w:rPr>
            </w:pPr>
            <w:r>
              <w:rPr>
                <w:sz w:val="32"/>
              </w:rPr>
              <w:t xml:space="preserve">Joshua warns Moses of the noise in the camp as they approach.  And he stays in the tabernacle of congregation afterwards.  </w:t>
            </w:r>
          </w:p>
        </w:tc>
      </w:tr>
    </w:tbl>
    <w:p w:rsidR="00800FF8" w:rsidRDefault="00800FF8"/>
    <w:tbl>
      <w:tblPr>
        <w:tblStyle w:val="TableGrid"/>
        <w:tblW w:w="10795" w:type="dxa"/>
        <w:tblLook w:val="04A0" w:firstRow="1" w:lastRow="0" w:firstColumn="1" w:lastColumn="0" w:noHBand="0" w:noVBand="1"/>
      </w:tblPr>
      <w:tblGrid>
        <w:gridCol w:w="1795"/>
        <w:gridCol w:w="2430"/>
        <w:gridCol w:w="6570"/>
      </w:tblGrid>
      <w:tr w:rsidR="00996C2D" w:rsidRPr="00FA1292" w:rsidTr="00996C2D">
        <w:tc>
          <w:tcPr>
            <w:tcW w:w="1795" w:type="dxa"/>
            <w:shd w:val="clear" w:color="auto" w:fill="BDD6EE" w:themeFill="accent1" w:themeFillTint="66"/>
            <w:vAlign w:val="center"/>
          </w:tcPr>
          <w:p w:rsidR="00996C2D" w:rsidRPr="00FA1292" w:rsidRDefault="00996C2D" w:rsidP="006D0D34">
            <w:pPr>
              <w:jc w:val="center"/>
              <w:rPr>
                <w:sz w:val="32"/>
              </w:rPr>
            </w:pPr>
            <w:r>
              <w:rPr>
                <w:sz w:val="32"/>
              </w:rPr>
              <w:t xml:space="preserve">Numbers </w:t>
            </w:r>
            <w:r w:rsidRPr="00FA1292">
              <w:rPr>
                <w:sz w:val="32"/>
              </w:rPr>
              <w:t>Reference</w:t>
            </w:r>
            <w:r w:rsidR="006A083D">
              <w:rPr>
                <w:sz w:val="32"/>
              </w:rPr>
              <w:t>s (10)</w:t>
            </w:r>
          </w:p>
        </w:tc>
        <w:tc>
          <w:tcPr>
            <w:tcW w:w="2430" w:type="dxa"/>
            <w:shd w:val="clear" w:color="auto" w:fill="BDD6EE" w:themeFill="accent1" w:themeFillTint="66"/>
            <w:vAlign w:val="center"/>
          </w:tcPr>
          <w:p w:rsidR="00996C2D" w:rsidRPr="00FA1292" w:rsidRDefault="00996C2D" w:rsidP="006D0D34">
            <w:pPr>
              <w:jc w:val="center"/>
              <w:rPr>
                <w:sz w:val="32"/>
              </w:rPr>
            </w:pPr>
            <w:r w:rsidRPr="00FA1292">
              <w:rPr>
                <w:sz w:val="32"/>
              </w:rPr>
              <w:t>Story</w:t>
            </w:r>
          </w:p>
        </w:tc>
        <w:tc>
          <w:tcPr>
            <w:tcW w:w="6570" w:type="dxa"/>
            <w:shd w:val="clear" w:color="auto" w:fill="BDD6EE" w:themeFill="accent1" w:themeFillTint="66"/>
            <w:vAlign w:val="center"/>
          </w:tcPr>
          <w:p w:rsidR="00996C2D" w:rsidRPr="00FA1292" w:rsidRDefault="00996C2D" w:rsidP="006D0D34">
            <w:pPr>
              <w:jc w:val="center"/>
              <w:rPr>
                <w:sz w:val="32"/>
              </w:rPr>
            </w:pPr>
            <w:r>
              <w:rPr>
                <w:sz w:val="32"/>
              </w:rPr>
              <w:t>Joshua</w:t>
            </w:r>
          </w:p>
        </w:tc>
      </w:tr>
      <w:tr w:rsidR="00996C2D" w:rsidRPr="00FA1292" w:rsidTr="00996C2D">
        <w:tc>
          <w:tcPr>
            <w:tcW w:w="1795" w:type="dxa"/>
          </w:tcPr>
          <w:p w:rsidR="00996C2D" w:rsidRPr="00FA1292" w:rsidRDefault="00996C2D" w:rsidP="00996C2D">
            <w:pPr>
              <w:rPr>
                <w:sz w:val="32"/>
              </w:rPr>
            </w:pPr>
            <w:r>
              <w:rPr>
                <w:sz w:val="32"/>
              </w:rPr>
              <w:t>Numbers 11:28</w:t>
            </w:r>
          </w:p>
        </w:tc>
        <w:tc>
          <w:tcPr>
            <w:tcW w:w="2430" w:type="dxa"/>
            <w:vAlign w:val="center"/>
          </w:tcPr>
          <w:p w:rsidR="00996C2D" w:rsidRPr="00FA1292" w:rsidRDefault="00996C2D" w:rsidP="00996C2D">
            <w:pPr>
              <w:jc w:val="center"/>
              <w:rPr>
                <w:sz w:val="32"/>
              </w:rPr>
            </w:pPr>
            <w:r>
              <w:rPr>
                <w:sz w:val="32"/>
              </w:rPr>
              <w:t>Elders prophesy in the camp</w:t>
            </w:r>
          </w:p>
        </w:tc>
        <w:tc>
          <w:tcPr>
            <w:tcW w:w="6570" w:type="dxa"/>
            <w:vAlign w:val="center"/>
          </w:tcPr>
          <w:p w:rsidR="00996C2D" w:rsidRPr="00FA1292" w:rsidRDefault="00996C2D" w:rsidP="006D0D34">
            <w:pPr>
              <w:rPr>
                <w:sz w:val="32"/>
              </w:rPr>
            </w:pPr>
            <w:r>
              <w:rPr>
                <w:sz w:val="32"/>
              </w:rPr>
              <w:t xml:space="preserve">Joshua, jealous for Moses’ authority, asks him to “forbid them” from prophesying.    </w:t>
            </w:r>
          </w:p>
        </w:tc>
      </w:tr>
      <w:tr w:rsidR="00996C2D" w:rsidRPr="00FA1292" w:rsidTr="00996C2D">
        <w:tc>
          <w:tcPr>
            <w:tcW w:w="1795" w:type="dxa"/>
          </w:tcPr>
          <w:p w:rsidR="00996C2D" w:rsidRDefault="00996C2D" w:rsidP="006D0D34">
            <w:pPr>
              <w:rPr>
                <w:sz w:val="32"/>
              </w:rPr>
            </w:pPr>
            <w:r>
              <w:rPr>
                <w:sz w:val="32"/>
              </w:rPr>
              <w:t>Numbers 14:6, 30, 38</w:t>
            </w:r>
          </w:p>
          <w:p w:rsidR="00996C2D" w:rsidRDefault="00996C2D" w:rsidP="006D0D34">
            <w:pPr>
              <w:rPr>
                <w:sz w:val="32"/>
              </w:rPr>
            </w:pPr>
            <w:r>
              <w:rPr>
                <w:sz w:val="32"/>
              </w:rPr>
              <w:t>26:65</w:t>
            </w:r>
          </w:p>
          <w:p w:rsidR="00996C2D" w:rsidRDefault="00996C2D" w:rsidP="006D0D34">
            <w:pPr>
              <w:rPr>
                <w:sz w:val="32"/>
              </w:rPr>
            </w:pPr>
            <w:r>
              <w:rPr>
                <w:sz w:val="32"/>
              </w:rPr>
              <w:t>32:12</w:t>
            </w:r>
          </w:p>
          <w:p w:rsidR="00996C2D" w:rsidRPr="00FA1292" w:rsidRDefault="00996C2D" w:rsidP="006D0D34">
            <w:pPr>
              <w:rPr>
                <w:sz w:val="32"/>
              </w:rPr>
            </w:pPr>
          </w:p>
        </w:tc>
        <w:tc>
          <w:tcPr>
            <w:tcW w:w="2430" w:type="dxa"/>
            <w:vAlign w:val="center"/>
          </w:tcPr>
          <w:p w:rsidR="00996C2D" w:rsidRPr="00FA1292" w:rsidRDefault="00996C2D" w:rsidP="006D0D34">
            <w:pPr>
              <w:jc w:val="center"/>
              <w:rPr>
                <w:sz w:val="32"/>
              </w:rPr>
            </w:pPr>
            <w:r>
              <w:rPr>
                <w:sz w:val="32"/>
              </w:rPr>
              <w:t>The spies give an evil report of Canaan</w:t>
            </w:r>
          </w:p>
        </w:tc>
        <w:tc>
          <w:tcPr>
            <w:tcW w:w="6570" w:type="dxa"/>
            <w:vAlign w:val="center"/>
          </w:tcPr>
          <w:p w:rsidR="00996C2D" w:rsidRPr="00FA1292" w:rsidRDefault="00996C2D" w:rsidP="00996C2D">
            <w:pPr>
              <w:rPr>
                <w:sz w:val="32"/>
              </w:rPr>
            </w:pPr>
            <w:r>
              <w:rPr>
                <w:sz w:val="32"/>
              </w:rPr>
              <w:t xml:space="preserve">Joshua and Caleb give a positive report of the land.  They also claim that the people can take Canaan with God’s help.  The people respond badly, but God promises that only Caleb and Joshua will live to take possession of the land.  </w:t>
            </w:r>
          </w:p>
        </w:tc>
      </w:tr>
      <w:tr w:rsidR="00996C2D" w:rsidRPr="00FA1292" w:rsidTr="00996C2D">
        <w:tc>
          <w:tcPr>
            <w:tcW w:w="1795" w:type="dxa"/>
          </w:tcPr>
          <w:p w:rsidR="00996C2D" w:rsidRPr="00FA1292" w:rsidRDefault="00996C2D" w:rsidP="006D0D34">
            <w:pPr>
              <w:rPr>
                <w:sz w:val="32"/>
              </w:rPr>
            </w:pPr>
            <w:r>
              <w:rPr>
                <w:sz w:val="32"/>
              </w:rPr>
              <w:t>Numbers 27:18, 22</w:t>
            </w:r>
          </w:p>
        </w:tc>
        <w:tc>
          <w:tcPr>
            <w:tcW w:w="2430" w:type="dxa"/>
            <w:vAlign w:val="center"/>
          </w:tcPr>
          <w:p w:rsidR="00996C2D" w:rsidRPr="00FA1292" w:rsidRDefault="00A03BED" w:rsidP="006D0D34">
            <w:pPr>
              <w:jc w:val="center"/>
              <w:rPr>
                <w:sz w:val="32"/>
              </w:rPr>
            </w:pPr>
            <w:r>
              <w:rPr>
                <w:sz w:val="32"/>
              </w:rPr>
              <w:t xml:space="preserve">Joshua is named as Moses’ successor </w:t>
            </w:r>
          </w:p>
        </w:tc>
        <w:tc>
          <w:tcPr>
            <w:tcW w:w="6570" w:type="dxa"/>
            <w:vAlign w:val="center"/>
          </w:tcPr>
          <w:p w:rsidR="00996C2D" w:rsidRPr="00FA1292" w:rsidRDefault="00A03BED" w:rsidP="006D0D34">
            <w:pPr>
              <w:rPr>
                <w:sz w:val="32"/>
              </w:rPr>
            </w:pPr>
            <w:r>
              <w:rPr>
                <w:sz w:val="32"/>
              </w:rPr>
              <w:t xml:space="preserve">God states that Joshua is a man “in whom is the spirit,” which makes him an appropriate leader for Israel.  </w:t>
            </w:r>
            <w:bookmarkStart w:id="0" w:name="_GoBack"/>
            <w:bookmarkEnd w:id="0"/>
            <w:r w:rsidR="00996C2D">
              <w:rPr>
                <w:sz w:val="32"/>
              </w:rPr>
              <w:t xml:space="preserve">  </w:t>
            </w:r>
          </w:p>
        </w:tc>
      </w:tr>
      <w:tr w:rsidR="00996C2D" w:rsidRPr="00FA1292" w:rsidTr="00996C2D">
        <w:tc>
          <w:tcPr>
            <w:tcW w:w="1795" w:type="dxa"/>
          </w:tcPr>
          <w:p w:rsidR="00996C2D" w:rsidRDefault="00996C2D" w:rsidP="006D0D34">
            <w:pPr>
              <w:rPr>
                <w:sz w:val="32"/>
              </w:rPr>
            </w:pPr>
            <w:r>
              <w:rPr>
                <w:sz w:val="32"/>
              </w:rPr>
              <w:t xml:space="preserve">Numbers 32:28, </w:t>
            </w:r>
          </w:p>
          <w:p w:rsidR="00996C2D" w:rsidRDefault="00996C2D" w:rsidP="006D0D34">
            <w:pPr>
              <w:rPr>
                <w:sz w:val="32"/>
              </w:rPr>
            </w:pPr>
            <w:r>
              <w:rPr>
                <w:sz w:val="32"/>
              </w:rPr>
              <w:t>34:17</w:t>
            </w:r>
          </w:p>
        </w:tc>
        <w:tc>
          <w:tcPr>
            <w:tcW w:w="2430" w:type="dxa"/>
            <w:vAlign w:val="center"/>
          </w:tcPr>
          <w:p w:rsidR="00996C2D" w:rsidRDefault="00996C2D" w:rsidP="006D0D34">
            <w:pPr>
              <w:jc w:val="center"/>
              <w:rPr>
                <w:sz w:val="32"/>
              </w:rPr>
            </w:pPr>
            <w:proofErr w:type="spellStart"/>
            <w:r>
              <w:rPr>
                <w:sz w:val="32"/>
              </w:rPr>
              <w:t>Gadites</w:t>
            </w:r>
            <w:proofErr w:type="spellEnd"/>
            <w:r>
              <w:rPr>
                <w:sz w:val="32"/>
              </w:rPr>
              <w:t xml:space="preserve"> and </w:t>
            </w:r>
            <w:proofErr w:type="spellStart"/>
            <w:r>
              <w:rPr>
                <w:sz w:val="32"/>
              </w:rPr>
              <w:t>Reubenites</w:t>
            </w:r>
            <w:proofErr w:type="spellEnd"/>
            <w:r>
              <w:rPr>
                <w:sz w:val="32"/>
              </w:rPr>
              <w:t xml:space="preserve"> inherit land east of the Jordan</w:t>
            </w:r>
          </w:p>
        </w:tc>
        <w:tc>
          <w:tcPr>
            <w:tcW w:w="6570" w:type="dxa"/>
            <w:vAlign w:val="center"/>
          </w:tcPr>
          <w:p w:rsidR="00996C2D" w:rsidRDefault="00996C2D" w:rsidP="006D0D34">
            <w:pPr>
              <w:rPr>
                <w:sz w:val="32"/>
              </w:rPr>
            </w:pPr>
            <w:r>
              <w:rPr>
                <w:sz w:val="32"/>
              </w:rPr>
              <w:t xml:space="preserve">Joshua is one of those who hear and administrate this agreement.  </w:t>
            </w:r>
          </w:p>
        </w:tc>
      </w:tr>
    </w:tbl>
    <w:p w:rsidR="00996C2D" w:rsidRDefault="00996C2D"/>
    <w:p w:rsidR="006A083D" w:rsidRDefault="006A083D"/>
    <w:p w:rsidR="006A083D" w:rsidRDefault="006A083D"/>
    <w:p w:rsidR="006A083D" w:rsidRDefault="006A083D"/>
    <w:tbl>
      <w:tblPr>
        <w:tblStyle w:val="TableGrid"/>
        <w:tblW w:w="10795" w:type="dxa"/>
        <w:tblLook w:val="04A0" w:firstRow="1" w:lastRow="0" w:firstColumn="1" w:lastColumn="0" w:noHBand="0" w:noVBand="1"/>
      </w:tblPr>
      <w:tblGrid>
        <w:gridCol w:w="2065"/>
        <w:gridCol w:w="2160"/>
        <w:gridCol w:w="6570"/>
      </w:tblGrid>
      <w:tr w:rsidR="006A083D" w:rsidRPr="00FA1292" w:rsidTr="006A083D">
        <w:tc>
          <w:tcPr>
            <w:tcW w:w="2065" w:type="dxa"/>
            <w:shd w:val="clear" w:color="auto" w:fill="BDD6EE" w:themeFill="accent1" w:themeFillTint="66"/>
            <w:vAlign w:val="center"/>
          </w:tcPr>
          <w:p w:rsidR="00996C2D" w:rsidRPr="00FA1292" w:rsidRDefault="00996C2D" w:rsidP="006D0D34">
            <w:pPr>
              <w:jc w:val="center"/>
              <w:rPr>
                <w:sz w:val="32"/>
              </w:rPr>
            </w:pPr>
            <w:r>
              <w:rPr>
                <w:sz w:val="32"/>
              </w:rPr>
              <w:lastRenderedPageBreak/>
              <w:t xml:space="preserve">Deuteronomy </w:t>
            </w:r>
            <w:r w:rsidRPr="00FA1292">
              <w:rPr>
                <w:sz w:val="32"/>
              </w:rPr>
              <w:t>Reference</w:t>
            </w:r>
            <w:r w:rsidR="006A083D">
              <w:rPr>
                <w:sz w:val="32"/>
              </w:rPr>
              <w:t>s (8)</w:t>
            </w:r>
          </w:p>
        </w:tc>
        <w:tc>
          <w:tcPr>
            <w:tcW w:w="2160" w:type="dxa"/>
            <w:shd w:val="clear" w:color="auto" w:fill="BDD6EE" w:themeFill="accent1" w:themeFillTint="66"/>
            <w:vAlign w:val="center"/>
          </w:tcPr>
          <w:p w:rsidR="00996C2D" w:rsidRPr="00FA1292" w:rsidRDefault="00996C2D" w:rsidP="006D0D34">
            <w:pPr>
              <w:jc w:val="center"/>
              <w:rPr>
                <w:sz w:val="32"/>
              </w:rPr>
            </w:pPr>
            <w:r w:rsidRPr="00FA1292">
              <w:rPr>
                <w:sz w:val="32"/>
              </w:rPr>
              <w:t>Story</w:t>
            </w:r>
          </w:p>
        </w:tc>
        <w:tc>
          <w:tcPr>
            <w:tcW w:w="6570" w:type="dxa"/>
            <w:shd w:val="clear" w:color="auto" w:fill="BDD6EE" w:themeFill="accent1" w:themeFillTint="66"/>
            <w:vAlign w:val="center"/>
          </w:tcPr>
          <w:p w:rsidR="00996C2D" w:rsidRPr="00FA1292" w:rsidRDefault="00996C2D" w:rsidP="006D0D34">
            <w:pPr>
              <w:jc w:val="center"/>
              <w:rPr>
                <w:sz w:val="32"/>
              </w:rPr>
            </w:pPr>
            <w:r>
              <w:rPr>
                <w:sz w:val="32"/>
              </w:rPr>
              <w:t>Joshua</w:t>
            </w:r>
          </w:p>
        </w:tc>
      </w:tr>
      <w:tr w:rsidR="006A083D" w:rsidRPr="00FA1292" w:rsidTr="006A083D">
        <w:tc>
          <w:tcPr>
            <w:tcW w:w="2065" w:type="dxa"/>
          </w:tcPr>
          <w:p w:rsidR="00996C2D" w:rsidRDefault="00996C2D" w:rsidP="00996C2D">
            <w:pPr>
              <w:rPr>
                <w:sz w:val="32"/>
              </w:rPr>
            </w:pPr>
            <w:r>
              <w:rPr>
                <w:sz w:val="32"/>
              </w:rPr>
              <w:t>Deuteronomy 1:38, 3:21, 28</w:t>
            </w:r>
          </w:p>
          <w:p w:rsidR="00996C2D" w:rsidRPr="00FA1292" w:rsidRDefault="00996C2D" w:rsidP="00996C2D">
            <w:pPr>
              <w:rPr>
                <w:sz w:val="32"/>
              </w:rPr>
            </w:pPr>
            <w:r>
              <w:rPr>
                <w:sz w:val="32"/>
              </w:rPr>
              <w:t>31:3, 7, 14, 23, 34:9</w:t>
            </w:r>
          </w:p>
        </w:tc>
        <w:tc>
          <w:tcPr>
            <w:tcW w:w="2160" w:type="dxa"/>
            <w:vAlign w:val="center"/>
          </w:tcPr>
          <w:p w:rsidR="00996C2D" w:rsidRPr="00FA1292" w:rsidRDefault="00996C2D" w:rsidP="006D0D34">
            <w:pPr>
              <w:jc w:val="center"/>
              <w:rPr>
                <w:sz w:val="32"/>
              </w:rPr>
            </w:pPr>
            <w:r>
              <w:rPr>
                <w:sz w:val="32"/>
              </w:rPr>
              <w:t>Joshua is appointed Moses’ successor</w:t>
            </w:r>
          </w:p>
        </w:tc>
        <w:tc>
          <w:tcPr>
            <w:tcW w:w="6570" w:type="dxa"/>
            <w:vAlign w:val="center"/>
          </w:tcPr>
          <w:p w:rsidR="00996C2D" w:rsidRPr="00FA1292" w:rsidRDefault="00996C2D" w:rsidP="00996C2D">
            <w:pPr>
              <w:rPr>
                <w:sz w:val="32"/>
              </w:rPr>
            </w:pPr>
            <w:r>
              <w:rPr>
                <w:sz w:val="32"/>
              </w:rPr>
              <w:t>Joshua is intended to le</w:t>
            </w:r>
            <w:r w:rsidR="006A083D">
              <w:rPr>
                <w:sz w:val="32"/>
              </w:rPr>
              <w:t xml:space="preserve">ad the Israelites into Canaan after Moses’ death.  </w:t>
            </w:r>
          </w:p>
        </w:tc>
      </w:tr>
    </w:tbl>
    <w:p w:rsidR="00996C2D" w:rsidRDefault="00996C2D" w:rsidP="00996C2D"/>
    <w:sectPr w:rsidR="00996C2D" w:rsidSect="00996C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996"/>
    <w:rsid w:val="006A083D"/>
    <w:rsid w:val="007B3506"/>
    <w:rsid w:val="00800FF8"/>
    <w:rsid w:val="00996C2D"/>
    <w:rsid w:val="00A03BED"/>
    <w:rsid w:val="00EB5996"/>
    <w:rsid w:val="00FA1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6BAD6-99FC-4ECE-A88A-70AE44C0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3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2021-01-13T22:00:00Z</cp:lastPrinted>
  <dcterms:created xsi:type="dcterms:W3CDTF">2021-01-13T21:24:00Z</dcterms:created>
  <dcterms:modified xsi:type="dcterms:W3CDTF">2021-01-20T23:04:00Z</dcterms:modified>
</cp:coreProperties>
</file>