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BD3966">
        <w:rPr>
          <w:b/>
          <w:sz w:val="40"/>
        </w:rPr>
        <w:t>2</w:t>
      </w:r>
      <w:r w:rsidR="008561BE">
        <w:rPr>
          <w:b/>
          <w:sz w:val="40"/>
        </w:rPr>
        <w:t>4</w:t>
      </w:r>
      <w:r w:rsidRPr="002E2349">
        <w:rPr>
          <w:b/>
          <w:sz w:val="40"/>
        </w:rPr>
        <w:t>:1-</w:t>
      </w:r>
      <w:r w:rsidR="008561BE">
        <w:rPr>
          <w:b/>
          <w:sz w:val="40"/>
        </w:rPr>
        <w:t>33</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62070C">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62070C">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8561BE">
        <w:rPr>
          <w:b/>
          <w:sz w:val="40"/>
        </w:rPr>
        <w:t>8</w:t>
      </w:r>
      <w:r w:rsidR="002E2349" w:rsidRPr="002E2349">
        <w:rPr>
          <w:b/>
          <w:sz w:val="40"/>
        </w:rPr>
        <w:t>/</w:t>
      </w:r>
      <w:r w:rsidR="008561BE">
        <w:rPr>
          <w:b/>
          <w:sz w:val="40"/>
        </w:rPr>
        <w:t>4</w:t>
      </w:r>
      <w:r w:rsidR="002E2349" w:rsidRPr="002E2349">
        <w:rPr>
          <w:b/>
          <w:sz w:val="40"/>
        </w:rPr>
        <w:t>/21</w:t>
      </w:r>
    </w:p>
    <w:p w:rsidR="002E2349" w:rsidRDefault="002E2349" w:rsidP="002E2349">
      <w:pPr>
        <w:rPr>
          <w:sz w:val="32"/>
        </w:rPr>
      </w:pPr>
    </w:p>
    <w:p w:rsidR="008561BE" w:rsidRPr="008561BE" w:rsidRDefault="008561BE" w:rsidP="008561BE">
      <w:pPr>
        <w:pStyle w:val="ListParagraph"/>
        <w:numPr>
          <w:ilvl w:val="0"/>
          <w:numId w:val="39"/>
        </w:numPr>
        <w:ind w:left="0" w:firstLine="0"/>
        <w:rPr>
          <w:b/>
          <w:sz w:val="32"/>
        </w:rPr>
      </w:pPr>
      <w:r w:rsidRPr="008561BE">
        <w:rPr>
          <w:b/>
          <w:sz w:val="32"/>
        </w:rPr>
        <w:t xml:space="preserve">Consider Genesis 12:4-6, and Genesis 35:1-4.  Why did Joshua hold this meeting at </w:t>
      </w:r>
      <w:proofErr w:type="spellStart"/>
      <w:r w:rsidRPr="008561BE">
        <w:rPr>
          <w:b/>
          <w:sz w:val="32"/>
        </w:rPr>
        <w:t>Shechem</w:t>
      </w:r>
      <w:proofErr w:type="spellEnd"/>
      <w:r w:rsidRPr="008561BE">
        <w:rPr>
          <w:b/>
          <w:sz w:val="32"/>
        </w:rPr>
        <w:t xml:space="preserve">?  </w:t>
      </w:r>
    </w:p>
    <w:p w:rsidR="008561BE" w:rsidRDefault="008561BE" w:rsidP="0062070C">
      <w:pPr>
        <w:pStyle w:val="ListParagraph"/>
        <w:tabs>
          <w:tab w:val="left" w:pos="360"/>
        </w:tabs>
        <w:spacing w:line="276" w:lineRule="auto"/>
        <w:ind w:left="0"/>
        <w:rPr>
          <w:sz w:val="32"/>
        </w:rPr>
      </w:pPr>
      <w:r>
        <w:rPr>
          <w:sz w:val="32"/>
        </w:rPr>
        <w:t xml:space="preserve">The covenant was first given to Abram at </w:t>
      </w:r>
      <w:proofErr w:type="spellStart"/>
      <w:r>
        <w:rPr>
          <w:sz w:val="32"/>
        </w:rPr>
        <w:t>Shechem</w:t>
      </w:r>
      <w:proofErr w:type="spellEnd"/>
      <w:r>
        <w:rPr>
          <w:sz w:val="32"/>
        </w:rPr>
        <w:t xml:space="preserve">, and under an oak at </w:t>
      </w:r>
      <w:proofErr w:type="spellStart"/>
      <w:r>
        <w:rPr>
          <w:sz w:val="32"/>
        </w:rPr>
        <w:t>Shechem</w:t>
      </w:r>
      <w:proofErr w:type="spellEnd"/>
      <w:r>
        <w:rPr>
          <w:sz w:val="32"/>
        </w:rPr>
        <w:t xml:space="preserve"> Jacob “put away the strange gods” of his family.  Joshua’s concluding address to the people focused on renewing their covenant with God, and especially on casting out idolatry from among them.  There could be no more fitting place than </w:t>
      </w:r>
      <w:proofErr w:type="spellStart"/>
      <w:r>
        <w:rPr>
          <w:sz w:val="32"/>
        </w:rPr>
        <w:t>Shechem</w:t>
      </w:r>
      <w:proofErr w:type="spellEnd"/>
      <w:r>
        <w:rPr>
          <w:sz w:val="32"/>
        </w:rPr>
        <w:t xml:space="preserve"> for Joshua’s parting words.  He knew that idolatry persisted among the people, in spite of all that had been done.  So Joshua used his parting words to remind the people that they were under covenant to God alone and to plead with them to finally eliminate idolatry from their midst.  </w:t>
      </w:r>
    </w:p>
    <w:p w:rsidR="008561BE" w:rsidRDefault="008561BE" w:rsidP="008561BE">
      <w:pPr>
        <w:pStyle w:val="ListParagraph"/>
        <w:numPr>
          <w:ilvl w:val="0"/>
          <w:numId w:val="39"/>
        </w:numPr>
        <w:tabs>
          <w:tab w:val="left" w:pos="360"/>
        </w:tabs>
        <w:spacing w:line="276" w:lineRule="auto"/>
        <w:ind w:left="0" w:firstLine="0"/>
        <w:rPr>
          <w:b/>
          <w:sz w:val="32"/>
        </w:rPr>
      </w:pPr>
      <w:r w:rsidRPr="008561BE">
        <w:rPr>
          <w:b/>
          <w:sz w:val="32"/>
        </w:rPr>
        <w:t xml:space="preserve">What does Joshua request in verse 14?  Why?  </w:t>
      </w:r>
    </w:p>
    <w:p w:rsidR="002B5CDD" w:rsidRPr="008561BE" w:rsidRDefault="008561BE" w:rsidP="008561BE">
      <w:pPr>
        <w:tabs>
          <w:tab w:val="left" w:pos="360"/>
        </w:tabs>
        <w:spacing w:line="276" w:lineRule="auto"/>
        <w:rPr>
          <w:sz w:val="32"/>
        </w:rPr>
      </w:pPr>
      <w:r>
        <w:rPr>
          <w:sz w:val="32"/>
        </w:rPr>
        <w:t xml:space="preserve">At this time, the Israelites may have preserved some of the idols of the subdued Canaanites as curios or as souvenirs, and hence now stood in in danger of regarding them with reverence.  The tendency toward idolatry began to develop in Egypt, and it continued to be a marked characteristic of the people in the wilderness.  Joshua knew that even now, idolatry was secretly practiced by some of the Israelites, even though outwardly they had only recently expressed great zeal against any appearance of it.  </w:t>
      </w:r>
      <w:r w:rsidR="0079470E">
        <w:rPr>
          <w:sz w:val="32"/>
        </w:rPr>
        <w:t xml:space="preserve">Joshua requests in the most stringent terms that the Israelites finally abandon this illicit worship and serve God properly “in sincerity and in truth.”  </w:t>
      </w:r>
      <w:r w:rsidR="0079470E">
        <w:rPr>
          <w:sz w:val="32"/>
        </w:rPr>
        <w:t xml:space="preserve">The command to serve God does not preclude choice.  Any service that is not voluntary is useless.  God sets before men life and death and He urges them to choose life, but He does not interfere with their contrary choice.  </w:t>
      </w:r>
      <w:r w:rsidR="0079470E">
        <w:rPr>
          <w:sz w:val="32"/>
        </w:rPr>
        <w:t xml:space="preserve">The statement in verse 15, that Joshua and “his house” would serve the Lord, was a powerful statement of his intentions and leadership.  Joshua had been remarkably true to God all his life, and he was resolved to remain faithful to the last.  His last appeal was for the people to follow his example of consecration, and the dignity and simplicity of his life added powerfully to the weight of his words.  </w:t>
      </w:r>
    </w:p>
    <w:p w:rsidR="0079470E" w:rsidRPr="0079470E" w:rsidRDefault="0079470E" w:rsidP="0079470E">
      <w:pPr>
        <w:pStyle w:val="ListParagraph"/>
        <w:numPr>
          <w:ilvl w:val="0"/>
          <w:numId w:val="39"/>
        </w:numPr>
        <w:ind w:left="0" w:firstLine="0"/>
        <w:rPr>
          <w:b/>
          <w:sz w:val="32"/>
        </w:rPr>
      </w:pPr>
      <w:r w:rsidRPr="0079470E">
        <w:rPr>
          <w:b/>
          <w:sz w:val="32"/>
        </w:rPr>
        <w:lastRenderedPageBreak/>
        <w:t xml:space="preserve">Consider verse 19.  What is Joshua saying here?  </w:t>
      </w:r>
    </w:p>
    <w:p w:rsidR="002B5CDD" w:rsidRPr="002B5CDD" w:rsidRDefault="0079470E" w:rsidP="0062070C">
      <w:pPr>
        <w:spacing w:line="276" w:lineRule="auto"/>
        <w:rPr>
          <w:sz w:val="32"/>
        </w:rPr>
      </w:pPr>
      <w:r>
        <w:rPr>
          <w:sz w:val="32"/>
        </w:rPr>
        <w:t>This is a grammatically unusual statement, probably intended to cause the listeners to pause and consider.  In one sense, connecting this verse with the previous several statements, it tells us that we certainly cannot serve God if we forsake Him and serve other gods.  He is a jealous God and cannot share with evil or imagined powers His place of authority.  On the other hand, the declaration “ye cannot serve the Lord” may have forced the listeners to consider the moral inability of man within himself to render obedience to divine commands.  The implication is that Joshua was not only saying, “</w:t>
      </w:r>
      <w:proofErr w:type="gramStart"/>
      <w:r>
        <w:rPr>
          <w:sz w:val="32"/>
        </w:rPr>
        <w:t>you</w:t>
      </w:r>
      <w:proofErr w:type="gramEnd"/>
      <w:r>
        <w:rPr>
          <w:sz w:val="32"/>
        </w:rPr>
        <w:t xml:space="preserve"> cannot serve Jehovah with other gods,” but also asserting, “you cannot serve Jehovah at all in your own strength.”  It should have been a firm reminder to the listeners of their dependence on God for everything, including the power to serve Him, as well as a clear condemnation of any attempts to blend God’s worship with that of idols.  Like God’s people at any time, we cannot do anything without the help of God.  It is man’s part to choose the right way and then to set about to accomplish it, in full recognition of his complete dependence of God in any such endeavor.  It is God’s part to supply the enabling power.  He stands ready at all times to fulfill His part of the arrangement.  The question is always whether we will choose to fulfill ours.  </w:t>
      </w:r>
    </w:p>
    <w:p w:rsidR="0079470E" w:rsidRPr="0079470E" w:rsidRDefault="0079470E" w:rsidP="0079470E">
      <w:pPr>
        <w:pStyle w:val="ListParagraph"/>
        <w:numPr>
          <w:ilvl w:val="0"/>
          <w:numId w:val="39"/>
        </w:numPr>
        <w:spacing w:line="276" w:lineRule="auto"/>
        <w:ind w:left="0" w:firstLine="0"/>
        <w:rPr>
          <w:b/>
          <w:sz w:val="32"/>
        </w:rPr>
      </w:pPr>
      <w:r w:rsidRPr="0079470E">
        <w:rPr>
          <w:b/>
          <w:sz w:val="32"/>
        </w:rPr>
        <w:t xml:space="preserve">What agreement is set out in verses 14-25?  To what are the people witnesses?  </w:t>
      </w:r>
    </w:p>
    <w:p w:rsidR="00B902AF" w:rsidRPr="00EB2413" w:rsidRDefault="00EB2413" w:rsidP="0079470E">
      <w:pPr>
        <w:tabs>
          <w:tab w:val="left" w:pos="90"/>
          <w:tab w:val="left" w:pos="360"/>
        </w:tabs>
        <w:spacing w:line="276" w:lineRule="auto"/>
        <w:rPr>
          <w:sz w:val="32"/>
        </w:rPr>
      </w:pPr>
      <w:r>
        <w:rPr>
          <w:sz w:val="32"/>
        </w:rPr>
        <w:t xml:space="preserve">Three times the Israelites affirm that they choose to serve God.  They recognize that He brought them out of Egypt, did great signs in the wilderness, and drove out the Canaanites before them.  Joshua reminds the people that just as God worked mightily on their behalf in Egypt, the wilderness, and Canaan, that He would bring equally mighty judgements upon them should they choose to forsake the Lord and serve strange gods.  But the people confirmed their intent to follow God truly, as Joshua had exhorted them to do.  </w:t>
      </w:r>
      <w:r>
        <w:rPr>
          <w:sz w:val="32"/>
        </w:rPr>
        <w:t xml:space="preserve">They here reconfirm their covenant with God, assuring Joshua that they intend to follow God alone.  </w:t>
      </w:r>
      <w:r>
        <w:rPr>
          <w:sz w:val="32"/>
        </w:rPr>
        <w:t xml:space="preserve">All the people present were witnesses of this choice and this covenant.  There could be no doubt of this agreement, into which the Israelites entered of their own free will.  And when they apostatized in later years, the whole community could confirm this choice.  </w:t>
      </w:r>
    </w:p>
    <w:p w:rsidR="00EB2413" w:rsidRPr="00EB2413" w:rsidRDefault="00EB2413" w:rsidP="00EB2413">
      <w:pPr>
        <w:pStyle w:val="ListParagraph"/>
        <w:numPr>
          <w:ilvl w:val="0"/>
          <w:numId w:val="39"/>
        </w:numPr>
        <w:ind w:left="0" w:firstLine="0"/>
        <w:rPr>
          <w:b/>
          <w:sz w:val="32"/>
        </w:rPr>
      </w:pPr>
      <w:r w:rsidRPr="00EB2413">
        <w:rPr>
          <w:b/>
          <w:sz w:val="32"/>
        </w:rPr>
        <w:lastRenderedPageBreak/>
        <w:t xml:space="preserve">Consider verse 32.  Why is this act mentioned here?  </w:t>
      </w:r>
    </w:p>
    <w:p w:rsidR="00834961" w:rsidRDefault="00EB2413" w:rsidP="00B902AF">
      <w:pPr>
        <w:tabs>
          <w:tab w:val="left" w:pos="90"/>
          <w:tab w:val="left" w:pos="360"/>
        </w:tabs>
        <w:spacing w:line="276" w:lineRule="auto"/>
        <w:rPr>
          <w:sz w:val="32"/>
        </w:rPr>
      </w:pPr>
      <w:r>
        <w:rPr>
          <w:sz w:val="32"/>
        </w:rPr>
        <w:t>The act of burying Joseph’s bones, t</w:t>
      </w:r>
      <w:r>
        <w:rPr>
          <w:sz w:val="32"/>
        </w:rPr>
        <w:t>hough here related</w:t>
      </w:r>
      <w:r>
        <w:rPr>
          <w:sz w:val="32"/>
        </w:rPr>
        <w:t xml:space="preserve"> after the account of the death of Joshua, probably took place prior to it, at the time of the gathering at </w:t>
      </w:r>
      <w:proofErr w:type="spellStart"/>
      <w:r>
        <w:rPr>
          <w:sz w:val="32"/>
        </w:rPr>
        <w:t>Shechem</w:t>
      </w:r>
      <w:proofErr w:type="spellEnd"/>
      <w:r>
        <w:rPr>
          <w:sz w:val="32"/>
        </w:rPr>
        <w:t xml:space="preserve"> described in this chapter.  A description of the burial of Joseph’s bones in this time and place might seem confusing, but recall that Joseph entered into Egypt some 257 years prior.  This entry into Egypt precipitated the Israelites’ 215 years in Egypt, much of which time they spent enslaved to the Egyptians.  Then God called Moses, the 40 years of wandering ensued, and now the Israelites have finally begun to settle in the land that God promised to Abraham some 472 years earlier.  The cycle, begun so very many generations back, is complete.  God has fulfilled His promise.  </w:t>
      </w:r>
    </w:p>
    <w:p w:rsidR="00EB2413" w:rsidRDefault="00EB2413" w:rsidP="00B902AF">
      <w:pPr>
        <w:tabs>
          <w:tab w:val="left" w:pos="90"/>
          <w:tab w:val="left" w:pos="360"/>
        </w:tabs>
        <w:spacing w:line="276" w:lineRule="auto"/>
        <w:rPr>
          <w:sz w:val="32"/>
        </w:rPr>
      </w:pPr>
    </w:p>
    <w:p w:rsidR="00EB2413" w:rsidRDefault="00EB2413" w:rsidP="00B902AF">
      <w:pPr>
        <w:tabs>
          <w:tab w:val="left" w:pos="90"/>
          <w:tab w:val="left" w:pos="360"/>
        </w:tabs>
        <w:spacing w:line="276" w:lineRule="auto"/>
        <w:rPr>
          <w:sz w:val="32"/>
        </w:rPr>
      </w:pPr>
      <w:r>
        <w:rPr>
          <w:noProof/>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6350</wp:posOffset>
                </wp:positionH>
                <wp:positionV relativeFrom="paragraph">
                  <wp:posOffset>106045</wp:posOffset>
                </wp:positionV>
                <wp:extent cx="6776720" cy="2647950"/>
                <wp:effectExtent l="0" t="0" r="24130" b="19050"/>
                <wp:wrapNone/>
                <wp:docPr id="6" name="Text Box 6"/>
                <wp:cNvGraphicFramePr/>
                <a:graphic xmlns:a="http://schemas.openxmlformats.org/drawingml/2006/main">
                  <a:graphicData uri="http://schemas.microsoft.com/office/word/2010/wordprocessingShape">
                    <wps:wsp>
                      <wps:cNvSpPr txBox="1"/>
                      <wps:spPr>
                        <a:xfrm>
                          <a:off x="0" y="0"/>
                          <a:ext cx="6776720" cy="26479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3E2C30" w:rsidP="003E2C30">
                            <w:pPr>
                              <w:rPr>
                                <w:rFonts w:cstheme="minorHAnsi"/>
                                <w:sz w:val="32"/>
                              </w:rPr>
                            </w:pPr>
                            <w:r w:rsidRPr="003E2C30">
                              <w:rPr>
                                <w:rFonts w:cstheme="minorHAnsi"/>
                                <w:i/>
                                <w:sz w:val="32"/>
                              </w:rPr>
                              <w:t>“And if it seem evil unto you to serve the Lord, choose you this day whom ye will serve; whether the gods which your fathers served that were on the other side of the flood, or the gods of the Amorites, in whose land ye dwell: but as for me and my house, we will serve the Lord.”</w:t>
                            </w:r>
                            <w:r>
                              <w:rPr>
                                <w:rFonts w:cstheme="minorHAnsi"/>
                                <w:sz w:val="32"/>
                              </w:rPr>
                              <w:t xml:space="preserve">  This powerful statement of Joshua is a reminder to all of us.  How committed are we?  Can we say, with Joshua, that as for me and my house we will serve the Lord?  I hope so.  If you can’t commit to this statement with the firmness that Joshua did, perhaps it’s time to rethink the other commitments in our lives—and discard them, putting God alone first.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5pt;margin-top:8.35pt;width:533.6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3E2C30" w:rsidP="003E2C30">
                      <w:pPr>
                        <w:rPr>
                          <w:rFonts w:cstheme="minorHAnsi"/>
                          <w:sz w:val="32"/>
                        </w:rPr>
                      </w:pPr>
                      <w:r w:rsidRPr="003E2C30">
                        <w:rPr>
                          <w:rFonts w:cstheme="minorHAnsi"/>
                          <w:i/>
                          <w:sz w:val="32"/>
                        </w:rPr>
                        <w:t>“And if it seem evil unto you to serve the Lord, choose you this day whom ye will serve; whether the gods which your fathers served that were on the other side of the flood, or the gods of the Amorites, in whose land ye dwell: but as for me and my house, we will serve the Lord.”</w:t>
                      </w:r>
                      <w:r>
                        <w:rPr>
                          <w:rFonts w:cstheme="minorHAnsi"/>
                          <w:sz w:val="32"/>
                        </w:rPr>
                        <w:t xml:space="preserve">  This powerful statement of Joshua is a reminder to all of us.  How committed are we?  Can we say, with Joshua, that as for me and my house we will serve the Lord?  I hope so.  If you can’t commit to this statement with the firmness that Joshua did, perhaps it’s time to rethink the other commitments in our lives—and discard them, putting God alone first.  </w:t>
                      </w:r>
                      <w:bookmarkEnd w:id="1"/>
                    </w:p>
                  </w:txbxContent>
                </v:textbox>
              </v:shape>
            </w:pict>
          </mc:Fallback>
        </mc:AlternateContent>
      </w:r>
    </w:p>
    <w:p w:rsidR="00EB2413" w:rsidRDefault="00EB2413" w:rsidP="00B902AF">
      <w:pPr>
        <w:tabs>
          <w:tab w:val="left" w:pos="90"/>
          <w:tab w:val="left" w:pos="360"/>
        </w:tabs>
        <w:spacing w:line="276" w:lineRule="auto"/>
        <w:rPr>
          <w:sz w:val="32"/>
        </w:rPr>
      </w:pPr>
    </w:p>
    <w:p w:rsidR="00EB2413" w:rsidRPr="00B902AF" w:rsidRDefault="00EB2413" w:rsidP="00B902AF">
      <w:pPr>
        <w:tabs>
          <w:tab w:val="left" w:pos="90"/>
          <w:tab w:val="left" w:pos="360"/>
        </w:tabs>
        <w:spacing w:line="276" w:lineRule="auto"/>
        <w:rPr>
          <w:sz w:val="32"/>
        </w:rPr>
      </w:pPr>
    </w:p>
    <w:p w:rsidR="00834961" w:rsidRDefault="00834961" w:rsidP="00AD7FF7">
      <w:pPr>
        <w:tabs>
          <w:tab w:val="left" w:pos="90"/>
          <w:tab w:val="left" w:pos="360"/>
        </w:tabs>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5046"/>
    <w:multiLevelType w:val="hybridMultilevel"/>
    <w:tmpl w:val="0BB6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3EB4"/>
    <w:multiLevelType w:val="hybridMultilevel"/>
    <w:tmpl w:val="472CBBD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57B6E"/>
    <w:multiLevelType w:val="hybridMultilevel"/>
    <w:tmpl w:val="67905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F49F4"/>
    <w:multiLevelType w:val="hybridMultilevel"/>
    <w:tmpl w:val="600AB6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997"/>
    <w:multiLevelType w:val="hybridMultilevel"/>
    <w:tmpl w:val="E0223014"/>
    <w:lvl w:ilvl="0" w:tplc="EB084AEA">
      <w:start w:val="3"/>
      <w:numFmt w:val="decimal"/>
      <w:lvlText w:val="%1."/>
      <w:lvlJc w:val="left"/>
      <w:pPr>
        <w:ind w:left="36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0B4BD8"/>
    <w:multiLevelType w:val="hybridMultilevel"/>
    <w:tmpl w:val="E524495E"/>
    <w:lvl w:ilvl="0" w:tplc="B8B68F1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38" w15:restartNumberingAfterBreak="0">
    <w:nsid w:val="78D97D21"/>
    <w:multiLevelType w:val="hybridMultilevel"/>
    <w:tmpl w:val="7814F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3"/>
  </w:num>
  <w:num w:numId="3">
    <w:abstractNumId w:val="26"/>
  </w:num>
  <w:num w:numId="4">
    <w:abstractNumId w:val="35"/>
  </w:num>
  <w:num w:numId="5">
    <w:abstractNumId w:val="23"/>
  </w:num>
  <w:num w:numId="6">
    <w:abstractNumId w:val="6"/>
  </w:num>
  <w:num w:numId="7">
    <w:abstractNumId w:val="16"/>
  </w:num>
  <w:num w:numId="8">
    <w:abstractNumId w:val="10"/>
  </w:num>
  <w:num w:numId="9">
    <w:abstractNumId w:val="28"/>
  </w:num>
  <w:num w:numId="10">
    <w:abstractNumId w:val="37"/>
  </w:num>
  <w:num w:numId="11">
    <w:abstractNumId w:val="22"/>
  </w:num>
  <w:num w:numId="12">
    <w:abstractNumId w:val="11"/>
  </w:num>
  <w:num w:numId="13">
    <w:abstractNumId w:val="29"/>
  </w:num>
  <w:num w:numId="14">
    <w:abstractNumId w:val="15"/>
  </w:num>
  <w:num w:numId="15">
    <w:abstractNumId w:val="18"/>
  </w:num>
  <w:num w:numId="16">
    <w:abstractNumId w:val="31"/>
  </w:num>
  <w:num w:numId="17">
    <w:abstractNumId w:val="7"/>
  </w:num>
  <w:num w:numId="18">
    <w:abstractNumId w:val="25"/>
  </w:num>
  <w:num w:numId="19">
    <w:abstractNumId w:val="34"/>
  </w:num>
  <w:num w:numId="20">
    <w:abstractNumId w:val="0"/>
  </w:num>
  <w:num w:numId="21">
    <w:abstractNumId w:val="36"/>
  </w:num>
  <w:num w:numId="22">
    <w:abstractNumId w:val="13"/>
  </w:num>
  <w:num w:numId="23">
    <w:abstractNumId w:val="9"/>
  </w:num>
  <w:num w:numId="24">
    <w:abstractNumId w:val="19"/>
  </w:num>
  <w:num w:numId="25">
    <w:abstractNumId w:val="33"/>
  </w:num>
  <w:num w:numId="26">
    <w:abstractNumId w:val="32"/>
  </w:num>
  <w:num w:numId="27">
    <w:abstractNumId w:val="17"/>
  </w:num>
  <w:num w:numId="28">
    <w:abstractNumId w:val="4"/>
  </w:num>
  <w:num w:numId="29">
    <w:abstractNumId w:val="27"/>
  </w:num>
  <w:num w:numId="30">
    <w:abstractNumId w:val="5"/>
  </w:num>
  <w:num w:numId="31">
    <w:abstractNumId w:val="21"/>
  </w:num>
  <w:num w:numId="32">
    <w:abstractNumId w:val="14"/>
  </w:num>
  <w:num w:numId="33">
    <w:abstractNumId w:val="24"/>
  </w:num>
  <w:num w:numId="34">
    <w:abstractNumId w:val="1"/>
  </w:num>
  <w:num w:numId="35">
    <w:abstractNumId w:val="12"/>
  </w:num>
  <w:num w:numId="36">
    <w:abstractNumId w:val="38"/>
  </w:num>
  <w:num w:numId="37">
    <w:abstractNumId w:val="2"/>
  </w:num>
  <w:num w:numId="38">
    <w:abstractNumId w:val="2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7478C"/>
    <w:rsid w:val="000836F9"/>
    <w:rsid w:val="000C20C3"/>
    <w:rsid w:val="000E7228"/>
    <w:rsid w:val="000E7AC6"/>
    <w:rsid w:val="00170900"/>
    <w:rsid w:val="001855CF"/>
    <w:rsid w:val="001869F2"/>
    <w:rsid w:val="001D681F"/>
    <w:rsid w:val="001E5F96"/>
    <w:rsid w:val="00255AD6"/>
    <w:rsid w:val="00257FFA"/>
    <w:rsid w:val="002639E1"/>
    <w:rsid w:val="00271CEF"/>
    <w:rsid w:val="00277C48"/>
    <w:rsid w:val="002A0787"/>
    <w:rsid w:val="002A7487"/>
    <w:rsid w:val="002B5CDD"/>
    <w:rsid w:val="002E2349"/>
    <w:rsid w:val="00323757"/>
    <w:rsid w:val="00332B41"/>
    <w:rsid w:val="00380B60"/>
    <w:rsid w:val="003914D9"/>
    <w:rsid w:val="003A3DD3"/>
    <w:rsid w:val="003A4D3C"/>
    <w:rsid w:val="003E2C30"/>
    <w:rsid w:val="00414F7A"/>
    <w:rsid w:val="0044286C"/>
    <w:rsid w:val="00442BCE"/>
    <w:rsid w:val="00476014"/>
    <w:rsid w:val="00487CCF"/>
    <w:rsid w:val="00497E74"/>
    <w:rsid w:val="004A2616"/>
    <w:rsid w:val="004B350F"/>
    <w:rsid w:val="004F5B9A"/>
    <w:rsid w:val="00504B12"/>
    <w:rsid w:val="00553E7B"/>
    <w:rsid w:val="00563DCD"/>
    <w:rsid w:val="00571809"/>
    <w:rsid w:val="00571939"/>
    <w:rsid w:val="00576175"/>
    <w:rsid w:val="00580501"/>
    <w:rsid w:val="005A7493"/>
    <w:rsid w:val="005C0252"/>
    <w:rsid w:val="005D6424"/>
    <w:rsid w:val="0062070C"/>
    <w:rsid w:val="00623501"/>
    <w:rsid w:val="00655535"/>
    <w:rsid w:val="00691C9C"/>
    <w:rsid w:val="006A4B92"/>
    <w:rsid w:val="006B58E9"/>
    <w:rsid w:val="006C209C"/>
    <w:rsid w:val="006D5260"/>
    <w:rsid w:val="006D7BE6"/>
    <w:rsid w:val="006E7870"/>
    <w:rsid w:val="007017E9"/>
    <w:rsid w:val="00725EB4"/>
    <w:rsid w:val="00736CEF"/>
    <w:rsid w:val="007438F5"/>
    <w:rsid w:val="007527A3"/>
    <w:rsid w:val="00752E30"/>
    <w:rsid w:val="007647DA"/>
    <w:rsid w:val="007761CB"/>
    <w:rsid w:val="0079470E"/>
    <w:rsid w:val="007C6889"/>
    <w:rsid w:val="007E4708"/>
    <w:rsid w:val="007F0D63"/>
    <w:rsid w:val="00800FF8"/>
    <w:rsid w:val="00830048"/>
    <w:rsid w:val="00834961"/>
    <w:rsid w:val="00847F0A"/>
    <w:rsid w:val="008561BE"/>
    <w:rsid w:val="008763CD"/>
    <w:rsid w:val="008B62BA"/>
    <w:rsid w:val="008C3D73"/>
    <w:rsid w:val="008E4655"/>
    <w:rsid w:val="009144E0"/>
    <w:rsid w:val="00936863"/>
    <w:rsid w:val="00936EB5"/>
    <w:rsid w:val="0098031A"/>
    <w:rsid w:val="0098423D"/>
    <w:rsid w:val="00984E56"/>
    <w:rsid w:val="00A1552C"/>
    <w:rsid w:val="00A40616"/>
    <w:rsid w:val="00A46172"/>
    <w:rsid w:val="00A4764A"/>
    <w:rsid w:val="00A725AC"/>
    <w:rsid w:val="00A72BBC"/>
    <w:rsid w:val="00A8505A"/>
    <w:rsid w:val="00A910DA"/>
    <w:rsid w:val="00AB0777"/>
    <w:rsid w:val="00AD7FF7"/>
    <w:rsid w:val="00B04874"/>
    <w:rsid w:val="00B06918"/>
    <w:rsid w:val="00B17896"/>
    <w:rsid w:val="00B307B3"/>
    <w:rsid w:val="00B30C01"/>
    <w:rsid w:val="00B55C28"/>
    <w:rsid w:val="00B85C84"/>
    <w:rsid w:val="00B902AF"/>
    <w:rsid w:val="00BD3966"/>
    <w:rsid w:val="00BE3B28"/>
    <w:rsid w:val="00BE4664"/>
    <w:rsid w:val="00C24F81"/>
    <w:rsid w:val="00C34C0D"/>
    <w:rsid w:val="00C600C6"/>
    <w:rsid w:val="00C77C4A"/>
    <w:rsid w:val="00C922B3"/>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DD5992"/>
    <w:rsid w:val="00E11790"/>
    <w:rsid w:val="00E5314E"/>
    <w:rsid w:val="00E8036B"/>
    <w:rsid w:val="00E87CA4"/>
    <w:rsid w:val="00EB2413"/>
    <w:rsid w:val="00EC64AE"/>
    <w:rsid w:val="00EF1903"/>
    <w:rsid w:val="00F112E5"/>
    <w:rsid w:val="00F16986"/>
    <w:rsid w:val="00F2251A"/>
    <w:rsid w:val="00F24ADC"/>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83170-CC76-4B6E-94D4-0CED3199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2021-08-04T21:35:00Z</dcterms:created>
  <dcterms:modified xsi:type="dcterms:W3CDTF">2021-08-04T22:27:00Z</dcterms:modified>
</cp:coreProperties>
</file>