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FF8" w:rsidRDefault="00B06918" w:rsidP="00B06918">
      <w:pPr>
        <w:jc w:val="center"/>
      </w:pPr>
      <w:r>
        <w:rPr>
          <w:noProof/>
        </w:rPr>
        <w:drawing>
          <wp:inline distT="0" distB="0" distL="0" distR="0" wp14:anchorId="4B3D6734" wp14:editId="43B16590">
            <wp:extent cx="4088130" cy="1771015"/>
            <wp:effectExtent l="0" t="0" r="7620" b="63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88130" cy="1771015"/>
                    </a:xfrm>
                    <a:prstGeom prst="rect">
                      <a:avLst/>
                    </a:prstGeom>
                    <a:noFill/>
                    <a:ln>
                      <a:noFill/>
                    </a:ln>
                  </pic:spPr>
                </pic:pic>
              </a:graphicData>
            </a:graphic>
          </wp:inline>
        </w:drawing>
      </w:r>
    </w:p>
    <w:p w:rsidR="00B06918" w:rsidRPr="000E7228" w:rsidRDefault="00B06918" w:rsidP="00B06918">
      <w:pPr>
        <w:rPr>
          <w:b/>
          <w:sz w:val="28"/>
        </w:rPr>
      </w:pPr>
      <w:r w:rsidRPr="000E7228">
        <w:rPr>
          <w:b/>
          <w:sz w:val="28"/>
        </w:rPr>
        <w:t>Names</w:t>
      </w:r>
    </w:p>
    <w:p w:rsidR="00B06918" w:rsidRPr="000E7228" w:rsidRDefault="00B06918" w:rsidP="00B06918">
      <w:pPr>
        <w:rPr>
          <w:sz w:val="28"/>
        </w:rPr>
      </w:pPr>
      <w:r w:rsidRPr="000E7228">
        <w:rPr>
          <w:sz w:val="28"/>
        </w:rPr>
        <w:t xml:space="preserve">The title of the book is obviously taken from the name of one of its main characters—Joshua, son of Nun, the successor of Moses.  Joshua’s name is actually rather surprising.  He was at first called </w:t>
      </w:r>
      <w:proofErr w:type="spellStart"/>
      <w:r w:rsidRPr="000E7228">
        <w:rPr>
          <w:i/>
          <w:sz w:val="28"/>
        </w:rPr>
        <w:t>Hoshea</w:t>
      </w:r>
      <w:proofErr w:type="spellEnd"/>
      <w:r w:rsidRPr="000E7228">
        <w:rPr>
          <w:i/>
          <w:sz w:val="28"/>
        </w:rPr>
        <w:t>‘</w:t>
      </w:r>
      <w:r w:rsidRPr="000E7228">
        <w:rPr>
          <w:sz w:val="28"/>
        </w:rPr>
        <w:t>, transliterated “</w:t>
      </w:r>
      <w:proofErr w:type="spellStart"/>
      <w:r w:rsidRPr="000E7228">
        <w:rPr>
          <w:sz w:val="28"/>
        </w:rPr>
        <w:t>Hoshea</w:t>
      </w:r>
      <w:proofErr w:type="spellEnd"/>
      <w:r w:rsidRPr="000E7228">
        <w:rPr>
          <w:sz w:val="28"/>
        </w:rPr>
        <w:t>” or “</w:t>
      </w:r>
      <w:proofErr w:type="spellStart"/>
      <w:r w:rsidRPr="000E7228">
        <w:rPr>
          <w:sz w:val="28"/>
        </w:rPr>
        <w:t>Oshea</w:t>
      </w:r>
      <w:proofErr w:type="spellEnd"/>
      <w:r w:rsidRPr="000E7228">
        <w:rPr>
          <w:sz w:val="28"/>
        </w:rPr>
        <w:t xml:space="preserve">.”  It means “savior,” or “salvation.”  According to Numbers 13:16, Moses changed Joshua’s name to </w:t>
      </w:r>
      <w:proofErr w:type="spellStart"/>
      <w:r w:rsidRPr="000E7228">
        <w:rPr>
          <w:i/>
          <w:sz w:val="28"/>
        </w:rPr>
        <w:t>Yehoshua</w:t>
      </w:r>
      <w:proofErr w:type="spellEnd"/>
      <w:r w:rsidRPr="000E7228">
        <w:rPr>
          <w:i/>
          <w:sz w:val="28"/>
        </w:rPr>
        <w:t>‘</w:t>
      </w:r>
      <w:r w:rsidRPr="000E7228">
        <w:rPr>
          <w:sz w:val="28"/>
        </w:rPr>
        <w:t xml:space="preserve">, transliterated “Jehoshua,” by prefixing the abbreviated form for Jehovah (Yahweh) to Joshua’s former name.  It now signified “salvation of (or by) Jehovah.”  Joshua is merely a shortened form for Jehoshua, the form always found in the Hebrew Old Testament.  In the LXX he is called </w:t>
      </w:r>
      <w:proofErr w:type="spellStart"/>
      <w:r w:rsidRPr="000E7228">
        <w:rPr>
          <w:i/>
          <w:sz w:val="28"/>
        </w:rPr>
        <w:t>Iesous</w:t>
      </w:r>
      <w:proofErr w:type="spellEnd"/>
      <w:r w:rsidRPr="000E7228">
        <w:rPr>
          <w:i/>
          <w:sz w:val="28"/>
        </w:rPr>
        <w:t xml:space="preserve"> </w:t>
      </w:r>
      <w:proofErr w:type="spellStart"/>
      <w:r w:rsidRPr="000E7228">
        <w:rPr>
          <w:i/>
          <w:sz w:val="28"/>
        </w:rPr>
        <w:t>huios</w:t>
      </w:r>
      <w:proofErr w:type="spellEnd"/>
      <w:r w:rsidRPr="000E7228">
        <w:rPr>
          <w:i/>
          <w:sz w:val="28"/>
        </w:rPr>
        <w:t xml:space="preserve"> </w:t>
      </w:r>
      <w:proofErr w:type="spellStart"/>
      <w:r w:rsidRPr="000E7228">
        <w:rPr>
          <w:i/>
          <w:sz w:val="28"/>
        </w:rPr>
        <w:t>Naue</w:t>
      </w:r>
      <w:proofErr w:type="spellEnd"/>
      <w:r w:rsidRPr="000E7228">
        <w:rPr>
          <w:sz w:val="28"/>
        </w:rPr>
        <w:t xml:space="preserve">, “Jesus, son of </w:t>
      </w:r>
      <w:proofErr w:type="spellStart"/>
      <w:r w:rsidRPr="000E7228">
        <w:rPr>
          <w:sz w:val="28"/>
        </w:rPr>
        <w:t>Naue</w:t>
      </w:r>
      <w:proofErr w:type="spellEnd"/>
      <w:r w:rsidRPr="000E7228">
        <w:rPr>
          <w:sz w:val="28"/>
        </w:rPr>
        <w:t xml:space="preserve"> [Nun].”  In the New Testament (Acts 7:45, Hebrews 4:8), he is expressly called </w:t>
      </w:r>
      <w:proofErr w:type="spellStart"/>
      <w:r w:rsidRPr="000E7228">
        <w:rPr>
          <w:i/>
          <w:sz w:val="28"/>
        </w:rPr>
        <w:t>Iesous</w:t>
      </w:r>
      <w:proofErr w:type="spellEnd"/>
      <w:r w:rsidRPr="000E7228">
        <w:rPr>
          <w:sz w:val="28"/>
        </w:rPr>
        <w:t xml:space="preserve">, “Jesus.”  </w:t>
      </w:r>
    </w:p>
    <w:p w:rsidR="00B06918" w:rsidRPr="000E7228" w:rsidRDefault="000E7228" w:rsidP="00B06918">
      <w:pPr>
        <w:rPr>
          <w:b/>
          <w:sz w:val="28"/>
        </w:rPr>
      </w:pPr>
      <w:r w:rsidRPr="000E7228">
        <w:rPr>
          <w:b/>
          <w:sz w:val="28"/>
        </w:rPr>
        <w:t>Bible Divisions</w:t>
      </w:r>
    </w:p>
    <w:p w:rsidR="00B06918" w:rsidRDefault="000E7228" w:rsidP="00B06918">
      <w:pPr>
        <w:rPr>
          <w:sz w:val="28"/>
        </w:rPr>
      </w:pPr>
      <w:r w:rsidRPr="000E7228">
        <w:rPr>
          <w:sz w:val="28"/>
        </w:rPr>
        <w:t xml:space="preserve">Christ and the Jews recognized three divisions in the Old Testament:  the Law, the Prophets, and the Psalms or Writings.  Joshua is the first book of the second division, called “the Prophets” in Hebrew Bibles, because its author occupied the office of prophet.  In Hebrew Bibles the section entitled “the Prophets” is divided into two parts:  The “Former Prophets,” comprising Joshua, Judges, Samuel, and Kings, and the “Latter Prophets,” comprising those we commonly </w:t>
      </w:r>
      <w:proofErr w:type="spellStart"/>
      <w:r w:rsidRPr="000E7228">
        <w:rPr>
          <w:sz w:val="28"/>
        </w:rPr>
        <w:t>know</w:t>
      </w:r>
      <w:proofErr w:type="spellEnd"/>
      <w:r w:rsidRPr="000E7228">
        <w:rPr>
          <w:sz w:val="28"/>
        </w:rPr>
        <w:t xml:space="preserve"> as the Prophets.  Thus Joshua stands as the first book of the Prophets, although in content it is closely related to the Pentateuch, known to the Jews as “the Law.”  </w:t>
      </w:r>
    </w:p>
    <w:p w:rsidR="000E7228" w:rsidRPr="000E7228" w:rsidRDefault="000E7228" w:rsidP="000E7228">
      <w:pPr>
        <w:rPr>
          <w:b/>
          <w:sz w:val="28"/>
        </w:rPr>
      </w:pPr>
      <w:r>
        <w:rPr>
          <w:b/>
          <w:sz w:val="28"/>
        </w:rPr>
        <w:t>Authorship</w:t>
      </w:r>
    </w:p>
    <w:p w:rsidR="000E7228" w:rsidRDefault="000E7228" w:rsidP="000E7228">
      <w:pPr>
        <w:rPr>
          <w:sz w:val="28"/>
        </w:rPr>
      </w:pPr>
      <w:r>
        <w:rPr>
          <w:sz w:val="28"/>
        </w:rPr>
        <w:t xml:space="preserve">The internal unity of the book is evident from its connected narrative.  It is certainly written in the third person, but that in no way excludes Joshua from its authorship.  Moses also wrote in the third person, keeping an accurate record of </w:t>
      </w:r>
      <w:r>
        <w:rPr>
          <w:sz w:val="28"/>
        </w:rPr>
        <w:lastRenderedPageBreak/>
        <w:t xml:space="preserve">all events that occurred under his leadership.  It is absolutely reasonable to suppose that Joshua, chief assistant to Moses, would follow the example set by his great predecessor.  With few exceptions up to modern times, Jews and Christians have uniformly acknowledged Joshua as the author of the book bearing his name.  The Jewish Talmud specifically affirms this to be so, and states further that </w:t>
      </w:r>
      <w:proofErr w:type="spellStart"/>
      <w:r>
        <w:rPr>
          <w:sz w:val="28"/>
        </w:rPr>
        <w:t>Eleazar</w:t>
      </w:r>
      <w:proofErr w:type="spellEnd"/>
      <w:r>
        <w:rPr>
          <w:sz w:val="28"/>
        </w:rPr>
        <w:t xml:space="preserve">, the son of Aaron the high priest, added the conclusion (24:29-32) with verse 33 being appended by Phinehas.  </w:t>
      </w:r>
    </w:p>
    <w:p w:rsidR="000E7228" w:rsidRPr="000E7228" w:rsidRDefault="000E7228" w:rsidP="000E7228">
      <w:pPr>
        <w:rPr>
          <w:b/>
          <w:sz w:val="28"/>
        </w:rPr>
      </w:pPr>
      <w:r>
        <w:rPr>
          <w:b/>
          <w:sz w:val="28"/>
        </w:rPr>
        <w:t>Historical Setting</w:t>
      </w:r>
    </w:p>
    <w:p w:rsidR="000E7228" w:rsidRDefault="000E7228" w:rsidP="000E7228">
      <w:pPr>
        <w:rPr>
          <w:sz w:val="28"/>
        </w:rPr>
      </w:pPr>
      <w:r>
        <w:rPr>
          <w:sz w:val="28"/>
        </w:rPr>
        <w:t>Assuming first that Joshua is indeed the author, and that the Exodus occurred in the year 1445 BC, it is clear that the book of Joshua was written in the early part of the 14</w:t>
      </w:r>
      <w:r w:rsidRPr="000E7228">
        <w:rPr>
          <w:sz w:val="28"/>
          <w:vertAlign w:val="superscript"/>
        </w:rPr>
        <w:t>th</w:t>
      </w:r>
      <w:r>
        <w:rPr>
          <w:sz w:val="28"/>
        </w:rPr>
        <w:t xml:space="preserve"> century BC.  </w:t>
      </w:r>
      <w:r w:rsidR="00C77C4A">
        <w:rPr>
          <w:sz w:val="28"/>
        </w:rPr>
        <w:t xml:space="preserve">Israel was now entering the land of the Amorites west of the Jordan, to possess it according to the promise to Abraham in Genesis 15:16.  The iniquity of the Amorites was now full.  Modern excavations have given us lots of information regarding Palestine and surrounding nations at the time of Joshua.  For several centuries, Palestine had been intermittently under the influence, and at times the control, of Egypt.  Thutmose III, who died about 1450 BC, conducted 17 campaigns in or through Palestine to quell what had developed into a general revolt against Egypt.  These campaigns continued over a period of 18 years.  Even after that, there were additional minor campaigns, and several new strongholds were erected.  In certain times of the year soldiers and supplies were constantly being moved along the coastal highway, called in the Bible “the way of the land of the Philistines.”  This was probably just prior to the time of the Exodus if the Exodus took place about 1445 BC.  </w:t>
      </w:r>
    </w:p>
    <w:p w:rsidR="00C77C4A" w:rsidRDefault="00C77C4A" w:rsidP="000E7228">
      <w:pPr>
        <w:rPr>
          <w:sz w:val="28"/>
        </w:rPr>
      </w:pPr>
      <w:r>
        <w:rPr>
          <w:sz w:val="28"/>
        </w:rPr>
        <w:t xml:space="preserve">After the Exodus, the strength of Egypt began to wane.  However, the war between Egypt and the nations of Canaan continued until the reign of Thutmose IV.  A new enemy, the Hittites, began to menace the </w:t>
      </w:r>
      <w:proofErr w:type="spellStart"/>
      <w:r>
        <w:rPr>
          <w:sz w:val="28"/>
        </w:rPr>
        <w:t>Mitannians</w:t>
      </w:r>
      <w:proofErr w:type="spellEnd"/>
      <w:r>
        <w:rPr>
          <w:sz w:val="28"/>
        </w:rPr>
        <w:t xml:space="preserve">, Egypt’s </w:t>
      </w:r>
      <w:r w:rsidR="00D552DD">
        <w:rPr>
          <w:sz w:val="28"/>
        </w:rPr>
        <w:t>former enemy.  Thutmose</w:t>
      </w:r>
      <w:r w:rsidR="004E68EE">
        <w:rPr>
          <w:sz w:val="28"/>
        </w:rPr>
        <w:t xml:space="preserve"> IV made peace with the </w:t>
      </w:r>
      <w:proofErr w:type="spellStart"/>
      <w:r w:rsidR="004E68EE">
        <w:rPr>
          <w:sz w:val="28"/>
        </w:rPr>
        <w:t>Mitannians</w:t>
      </w:r>
      <w:proofErr w:type="spellEnd"/>
      <w:r w:rsidR="004E68EE">
        <w:rPr>
          <w:sz w:val="28"/>
        </w:rPr>
        <w:t xml:space="preserve"> because of their new common foe, shortly before 1400 BC, and the long standing hostility between them came to an end.  In the days of his successor, Amenhotep III, the high tide of Egyptian power began to ebb.  Egypt was enjoying the wealth she had obtained in past conquests.  Her military might was ending; and as revealed by the Tell el-Amarna Letters, correspondence from vassal princes in Syria and Palestine to Amenhotep III and his successor, Ikhnaton, Syria and Palestine were seething with </w:t>
      </w:r>
      <w:r w:rsidR="004E68EE">
        <w:rPr>
          <w:sz w:val="28"/>
        </w:rPr>
        <w:lastRenderedPageBreak/>
        <w:t xml:space="preserve">intrigue internally and were under attack from without.  Yet help from Egypt was not forthcoming.  Conditions in Palestine were thus such as to make possible the Israelite conquest, without their having to meet the strength of the Egyptian Empire.  </w:t>
      </w:r>
    </w:p>
    <w:p w:rsidR="004E68EE" w:rsidRDefault="004E68EE" w:rsidP="000E7228">
      <w:pPr>
        <w:rPr>
          <w:sz w:val="28"/>
        </w:rPr>
      </w:pPr>
      <w:r>
        <w:rPr>
          <w:sz w:val="28"/>
        </w:rPr>
        <w:t>The Hittites, mentioned in Joshua 1:4, were rising to power at this time,</w:t>
      </w:r>
      <w:r w:rsidRPr="004E68EE">
        <w:t xml:space="preserve"> </w:t>
      </w:r>
      <w:r>
        <w:rPr>
          <w:sz w:val="28"/>
        </w:rPr>
        <w:t xml:space="preserve">but had no power in Palestine.  This served to restrain the power of the </w:t>
      </w:r>
      <w:proofErr w:type="spellStart"/>
      <w:r>
        <w:rPr>
          <w:sz w:val="28"/>
        </w:rPr>
        <w:t>Mitannians</w:t>
      </w:r>
      <w:proofErr w:type="spellEnd"/>
      <w:r>
        <w:rPr>
          <w:sz w:val="28"/>
        </w:rPr>
        <w:t xml:space="preserve"> in the north.  Assyria was in periodic decline, and therefore weak.  The </w:t>
      </w:r>
      <w:proofErr w:type="spellStart"/>
      <w:r>
        <w:rPr>
          <w:sz w:val="28"/>
        </w:rPr>
        <w:t>Kassites</w:t>
      </w:r>
      <w:proofErr w:type="spellEnd"/>
      <w:r>
        <w:rPr>
          <w:sz w:val="28"/>
        </w:rPr>
        <w:t xml:space="preserve"> ruled in Babylon, but because of the uncertainty of their position—due to the </w:t>
      </w:r>
      <w:proofErr w:type="spellStart"/>
      <w:r>
        <w:rPr>
          <w:sz w:val="28"/>
        </w:rPr>
        <w:t>Mitannians</w:t>
      </w:r>
      <w:proofErr w:type="spellEnd"/>
      <w:r>
        <w:rPr>
          <w:sz w:val="28"/>
        </w:rPr>
        <w:t xml:space="preserve">, to pressure from Assyria, and to the constant struggle for pre-eminence in Mesopotamia—they too were exerting every effort to gain the friendship of Egypt.  The main wave of Philistine immigrants had not yet arrived in Palestine, to build up their power on the coastal area.  Thus the political world was in a state of flux, and no power from without was in a position to come rescue the peoples of Canaan.  </w:t>
      </w:r>
    </w:p>
    <w:p w:rsidR="004E68EE" w:rsidRDefault="004E68EE" w:rsidP="000E7228">
      <w:pPr>
        <w:rPr>
          <w:sz w:val="28"/>
        </w:rPr>
      </w:pPr>
      <w:r>
        <w:rPr>
          <w:sz w:val="28"/>
        </w:rPr>
        <w:t xml:space="preserve">The land of Canaan was divided among numerous small kingdoms and one autonomous state, Gibeon, with its dependent towns, </w:t>
      </w:r>
      <w:proofErr w:type="spellStart"/>
      <w:r>
        <w:rPr>
          <w:sz w:val="28"/>
        </w:rPr>
        <w:t>Chephirah</w:t>
      </w:r>
      <w:proofErr w:type="spellEnd"/>
      <w:r>
        <w:rPr>
          <w:sz w:val="28"/>
        </w:rPr>
        <w:t xml:space="preserve">, </w:t>
      </w:r>
      <w:proofErr w:type="spellStart"/>
      <w:r>
        <w:rPr>
          <w:sz w:val="28"/>
        </w:rPr>
        <w:t>Beeroth</w:t>
      </w:r>
      <w:proofErr w:type="spellEnd"/>
      <w:r>
        <w:rPr>
          <w:sz w:val="28"/>
        </w:rPr>
        <w:t xml:space="preserve">, and </w:t>
      </w:r>
      <w:proofErr w:type="spellStart"/>
      <w:r>
        <w:rPr>
          <w:sz w:val="28"/>
        </w:rPr>
        <w:t>Kirjath-jearim</w:t>
      </w:r>
      <w:proofErr w:type="spellEnd"/>
      <w:r>
        <w:rPr>
          <w:sz w:val="28"/>
        </w:rPr>
        <w:t xml:space="preserve">.   East of the Jordan were the kingdoms of </w:t>
      </w:r>
      <w:proofErr w:type="spellStart"/>
      <w:r>
        <w:rPr>
          <w:sz w:val="28"/>
        </w:rPr>
        <w:t>Sihon</w:t>
      </w:r>
      <w:proofErr w:type="spellEnd"/>
      <w:r>
        <w:rPr>
          <w:sz w:val="28"/>
        </w:rPr>
        <w:t xml:space="preserve"> and </w:t>
      </w:r>
      <w:proofErr w:type="spellStart"/>
      <w:proofErr w:type="gramStart"/>
      <w:r>
        <w:rPr>
          <w:sz w:val="28"/>
        </w:rPr>
        <w:t>Og</w:t>
      </w:r>
      <w:proofErr w:type="spellEnd"/>
      <w:proofErr w:type="gramEnd"/>
      <w:r>
        <w:rPr>
          <w:sz w:val="28"/>
        </w:rPr>
        <w:t xml:space="preserve">.  The land was already cultivated.  The inhabitants lived in cities, but tilled the ground outside the walls and planted olive-yards and vineyards.  They were acquainted with writing, they owned horses and chariots, but religiously and morally they were </w:t>
      </w:r>
      <w:proofErr w:type="gramStart"/>
      <w:r>
        <w:rPr>
          <w:sz w:val="28"/>
        </w:rPr>
        <w:t>very</w:t>
      </w:r>
      <w:proofErr w:type="gramEnd"/>
      <w:r>
        <w:rPr>
          <w:sz w:val="28"/>
        </w:rPr>
        <w:t xml:space="preserve"> degraded, practicing every kind of superstitious art and immorality.  In short, every circumstance was established so that God’s people could come in and establish their ownership of the land, abolish superstition, wickedness, and immorality, and found a country that would serve as an example to all the rest of the world.  </w:t>
      </w:r>
    </w:p>
    <w:p w:rsidR="004E68EE" w:rsidRDefault="004E68EE" w:rsidP="000E7228">
      <w:pPr>
        <w:rPr>
          <w:sz w:val="28"/>
        </w:rPr>
      </w:pPr>
    </w:p>
    <w:p w:rsidR="004E68EE" w:rsidRDefault="004E68EE" w:rsidP="000E7228">
      <w:pPr>
        <w:rPr>
          <w:sz w:val="28"/>
        </w:rPr>
      </w:pPr>
    </w:p>
    <w:p w:rsidR="004E68EE" w:rsidRDefault="004E68EE" w:rsidP="000E7228">
      <w:pPr>
        <w:rPr>
          <w:sz w:val="28"/>
        </w:rPr>
      </w:pPr>
    </w:p>
    <w:p w:rsidR="004E68EE" w:rsidRDefault="004E68EE" w:rsidP="000E7228">
      <w:pPr>
        <w:rPr>
          <w:sz w:val="28"/>
        </w:rPr>
      </w:pPr>
    </w:p>
    <w:p w:rsidR="004E68EE" w:rsidRDefault="004E68EE" w:rsidP="000E7228">
      <w:pPr>
        <w:rPr>
          <w:sz w:val="28"/>
        </w:rPr>
      </w:pPr>
    </w:p>
    <w:p w:rsidR="004E68EE" w:rsidRDefault="004E68EE" w:rsidP="000E7228">
      <w:pPr>
        <w:rPr>
          <w:sz w:val="28"/>
        </w:rPr>
      </w:pPr>
    </w:p>
    <w:p w:rsidR="004E68EE" w:rsidRPr="000E7228" w:rsidRDefault="004E68EE" w:rsidP="000E7228">
      <w:pPr>
        <w:rPr>
          <w:sz w:val="28"/>
        </w:rPr>
      </w:pPr>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661481</wp:posOffset>
                </wp:positionH>
                <wp:positionV relativeFrom="paragraph">
                  <wp:posOffset>927370</wp:posOffset>
                </wp:positionV>
                <wp:extent cx="749300" cy="304800"/>
                <wp:effectExtent l="0" t="0" r="12700" b="19050"/>
                <wp:wrapNone/>
                <wp:docPr id="3" name="Rectangle 3"/>
                <wp:cNvGraphicFramePr/>
                <a:graphic xmlns:a="http://schemas.openxmlformats.org/drawingml/2006/main">
                  <a:graphicData uri="http://schemas.microsoft.com/office/word/2010/wordprocessingShape">
                    <wps:wsp>
                      <wps:cNvSpPr/>
                      <wps:spPr>
                        <a:xfrm>
                          <a:off x="0" y="0"/>
                          <a:ext cx="749300" cy="304800"/>
                        </a:xfrm>
                        <a:prstGeom prst="rect">
                          <a:avLst/>
                        </a:prstGeom>
                        <a:solidFill>
                          <a:srgbClr val="37BED5"/>
                        </a:solidFill>
                        <a:ln>
                          <a:solidFill>
                            <a:srgbClr val="37BED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DDD432" id="Rectangle 3" o:spid="_x0000_s1026" style="position:absolute;margin-left:52.1pt;margin-top:73pt;width:59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" fillcolor="#37bed5" strokecolor="#37bed5" strokeweight="1pt"/>
            </w:pict>
          </mc:Fallback>
        </mc:AlternateContent>
      </w:r>
      <w:bookmarkStart w:id="0" w:name="_GoBack"/>
      <w:r>
        <w:rPr>
          <w:noProof/>
        </w:rPr>
        <w:drawing>
          <wp:anchor distT="0" distB="0" distL="114300" distR="114300" simplePos="0" relativeHeight="251658239" behindDoc="1" locked="0" layoutInCell="1" allowOverlap="1">
            <wp:simplePos x="0" y="0"/>
            <wp:positionH relativeFrom="column">
              <wp:posOffset>-50800</wp:posOffset>
            </wp:positionH>
            <wp:positionV relativeFrom="paragraph">
              <wp:posOffset>352425</wp:posOffset>
            </wp:positionV>
            <wp:extent cx="6276975" cy="7874000"/>
            <wp:effectExtent l="0" t="0" r="9525" b="0"/>
            <wp:wrapTight wrapText="bothSides">
              <wp:wrapPolygon edited="0">
                <wp:start x="0" y="0"/>
                <wp:lineTo x="0" y="21530"/>
                <wp:lineTo x="21567" y="21530"/>
                <wp:lineTo x="21567" y="0"/>
                <wp:lineTo x="0" y="0"/>
              </wp:wrapPolygon>
            </wp:wrapTight>
            <wp:docPr id="2" name="Picture 2" descr="https://bleon1.files.wordpress.com/2014/02/conqu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leon1.files.wordpress.com/2014/02/conquest.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76975" cy="7874000"/>
                    </a:xfrm>
                    <a:prstGeom prst="rect">
                      <a:avLst/>
                    </a:prstGeom>
                    <a:noFill/>
                    <a:ln>
                      <a:noFill/>
                    </a:ln>
                  </pic:spPr>
                </pic:pic>
              </a:graphicData>
            </a:graphic>
          </wp:anchor>
        </w:drawing>
      </w:r>
      <w:bookmarkEnd w:id="0"/>
    </w:p>
    <w:sectPr w:rsidR="004E68EE" w:rsidRPr="000E72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918"/>
    <w:rsid w:val="000E7228"/>
    <w:rsid w:val="004E68EE"/>
    <w:rsid w:val="00800FF8"/>
    <w:rsid w:val="00B06918"/>
    <w:rsid w:val="00C77C4A"/>
    <w:rsid w:val="00D55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5CC1BC-9042-41D2-B94F-67A1D9C8E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714EE-308B-489D-A92F-04051ABC2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893</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2</cp:revision>
  <dcterms:created xsi:type="dcterms:W3CDTF">2021-01-13T22:37:00Z</dcterms:created>
  <dcterms:modified xsi:type="dcterms:W3CDTF">2021-01-13T23:53:00Z</dcterms:modified>
</cp:coreProperties>
</file>