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8B4578"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2</w:t>
      </w:r>
      <w:r w:rsidR="007C553F">
        <w:rPr>
          <w:rFonts w:cstheme="minorHAnsi"/>
          <w:b/>
          <w:sz w:val="32"/>
        </w:rPr>
        <w:t>:</w:t>
      </w:r>
      <w:r w:rsidR="004A3C64">
        <w:rPr>
          <w:rFonts w:cstheme="minorHAnsi"/>
          <w:b/>
          <w:sz w:val="32"/>
        </w:rPr>
        <w:t>1</w:t>
      </w:r>
      <w:r>
        <w:rPr>
          <w:rFonts w:cstheme="minorHAnsi"/>
          <w:b/>
          <w:sz w:val="32"/>
        </w:rPr>
        <w:t>8</w:t>
      </w:r>
      <w:r w:rsidR="00D17921">
        <w:rPr>
          <w:rFonts w:cstheme="minorHAnsi"/>
          <w:b/>
          <w:sz w:val="32"/>
        </w:rPr>
        <w:t>-</w:t>
      </w:r>
      <w:r w:rsidR="004A3C64">
        <w:rPr>
          <w:rFonts w:cstheme="minorHAnsi"/>
          <w:b/>
          <w:sz w:val="32"/>
        </w:rPr>
        <w:t>23</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4A3C64"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April 27</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4A3C64" w:rsidRPr="004A3C64" w:rsidRDefault="004A3C64" w:rsidP="004A3C64">
      <w:pPr>
        <w:pStyle w:val="ListParagraph"/>
        <w:numPr>
          <w:ilvl w:val="0"/>
          <w:numId w:val="8"/>
        </w:numPr>
        <w:rPr>
          <w:rFonts w:cstheme="minorHAnsi"/>
          <w:b/>
          <w:sz w:val="28"/>
        </w:rPr>
      </w:pPr>
      <w:r w:rsidRPr="004A3C64">
        <w:rPr>
          <w:rFonts w:cstheme="minorHAnsi"/>
          <w:b/>
          <w:sz w:val="28"/>
        </w:rPr>
        <w:t>How much is an “</w:t>
      </w:r>
      <w:proofErr w:type="spellStart"/>
      <w:r w:rsidRPr="004A3C64">
        <w:rPr>
          <w:rFonts w:cstheme="minorHAnsi"/>
          <w:b/>
          <w:sz w:val="28"/>
        </w:rPr>
        <w:t>ephah</w:t>
      </w:r>
      <w:proofErr w:type="spellEnd"/>
      <w:r w:rsidRPr="004A3C64">
        <w:rPr>
          <w:rFonts w:cstheme="minorHAnsi"/>
          <w:b/>
          <w:sz w:val="28"/>
        </w:rPr>
        <w:t xml:space="preserve">” of barley?    </w:t>
      </w:r>
    </w:p>
    <w:p w:rsidR="00265773" w:rsidRDefault="004A3C64" w:rsidP="00265773">
      <w:pPr>
        <w:pStyle w:val="ListParagraph"/>
        <w:spacing w:after="0"/>
        <w:ind w:left="1800"/>
        <w:rPr>
          <w:rFonts w:cstheme="minorHAnsi"/>
          <w:sz w:val="28"/>
        </w:rPr>
      </w:pPr>
      <w:r>
        <w:rPr>
          <w:rFonts w:cstheme="minorHAnsi"/>
          <w:sz w:val="28"/>
        </w:rPr>
        <w:t>An “</w:t>
      </w:r>
      <w:proofErr w:type="spellStart"/>
      <w:r>
        <w:rPr>
          <w:rFonts w:cstheme="minorHAnsi"/>
          <w:sz w:val="28"/>
        </w:rPr>
        <w:t>ephah</w:t>
      </w:r>
      <w:proofErr w:type="spellEnd"/>
      <w:r>
        <w:rPr>
          <w:rFonts w:cstheme="minorHAnsi"/>
          <w:sz w:val="28"/>
        </w:rPr>
        <w:t xml:space="preserve">” of barley is about 30 </w:t>
      </w:r>
      <w:proofErr w:type="spellStart"/>
      <w:r>
        <w:rPr>
          <w:rFonts w:cstheme="minorHAnsi"/>
          <w:sz w:val="28"/>
        </w:rPr>
        <w:t>lbs</w:t>
      </w:r>
      <w:proofErr w:type="spellEnd"/>
      <w:r>
        <w:rPr>
          <w:rFonts w:cstheme="minorHAnsi"/>
          <w:sz w:val="28"/>
        </w:rPr>
        <w:t xml:space="preserve"> or 5 gallons of grain.  This is an astounding quantity of barley for a day’s work, even for a dedicated worker like Ruth!  I’ve done some searching online and rough calculations, and I would estimate that one person would eat roughly 0.88 (or nearly nine-tenths) of a pound per day to survive.  That is, 30 pounds of barley would be enough for one person to survive approximately 34 days.  For Ruth and Naomi, then, an </w:t>
      </w:r>
      <w:proofErr w:type="spellStart"/>
      <w:r>
        <w:rPr>
          <w:rFonts w:cstheme="minorHAnsi"/>
          <w:sz w:val="28"/>
        </w:rPr>
        <w:t>ephah</w:t>
      </w:r>
      <w:proofErr w:type="spellEnd"/>
      <w:r>
        <w:rPr>
          <w:rFonts w:cstheme="minorHAnsi"/>
          <w:sz w:val="28"/>
        </w:rPr>
        <w:t xml:space="preserve"> of barley is probably sufficient to support them for 17 days.  That’s assuming they had nothing else to eat, although they probably gathered other foods like greens or vegetables.   They may also have traded a certain portion of the barley for other edibles.  </w:t>
      </w:r>
    </w:p>
    <w:p w:rsidR="00F72574" w:rsidRDefault="00D7355F" w:rsidP="00D7355F">
      <w:pPr>
        <w:pStyle w:val="ListParagraph"/>
        <w:numPr>
          <w:ilvl w:val="0"/>
          <w:numId w:val="8"/>
        </w:numPr>
        <w:rPr>
          <w:rFonts w:cstheme="minorHAnsi"/>
          <w:b/>
          <w:sz w:val="28"/>
        </w:rPr>
      </w:pPr>
      <w:r w:rsidRPr="00D7355F">
        <w:rPr>
          <w:rFonts w:cstheme="minorHAnsi"/>
          <w:b/>
          <w:sz w:val="28"/>
        </w:rPr>
        <w:t xml:space="preserve">What does Naomi mean when she says “blessed be he that did take knowledge of thee?”  </w:t>
      </w:r>
    </w:p>
    <w:p w:rsidR="00D16F17" w:rsidRDefault="00D7355F" w:rsidP="00D7355F">
      <w:pPr>
        <w:ind w:left="1800"/>
        <w:rPr>
          <w:rFonts w:cstheme="minorHAnsi"/>
          <w:b/>
          <w:sz w:val="28"/>
        </w:rPr>
      </w:pPr>
      <w:r>
        <w:rPr>
          <w:rFonts w:cstheme="minorHAnsi"/>
          <w:sz w:val="28"/>
        </w:rPr>
        <w:t xml:space="preserve">Naomi was appropriately impressed with the quantity of grain Ruth had gleaned.  The sheer amount indicated that the owner of the field where Ruth had worked had been unusually kind to her.  When Ruth gave Naomi the leftovers of her good lunch, which Boaz had provided, it is even </w:t>
      </w:r>
      <w:proofErr w:type="gramStart"/>
      <w:r>
        <w:rPr>
          <w:rFonts w:cstheme="minorHAnsi"/>
          <w:sz w:val="28"/>
        </w:rPr>
        <w:t>more clear</w:t>
      </w:r>
      <w:proofErr w:type="gramEnd"/>
      <w:r>
        <w:rPr>
          <w:rFonts w:cstheme="minorHAnsi"/>
          <w:sz w:val="28"/>
        </w:rPr>
        <w:t xml:space="preserve"> to Naomi that the field owner was very generous.  In view of this particular favor shown to Ruth—and to Naomi through Ruth—Naomi invokes God’s blessing on Ruth’s generous benefactor.  Possibly Naomi already suspects—even before Ruth identifies Boaz as her benefactor—that the field owner has a particular interest in Ruth.  </w:t>
      </w:r>
    </w:p>
    <w:p w:rsidR="00D7355F" w:rsidRPr="00D7355F" w:rsidRDefault="00D7355F" w:rsidP="00D7355F">
      <w:pPr>
        <w:pStyle w:val="ListParagraph"/>
        <w:numPr>
          <w:ilvl w:val="0"/>
          <w:numId w:val="8"/>
        </w:numPr>
        <w:rPr>
          <w:rFonts w:cstheme="minorHAnsi"/>
          <w:b/>
          <w:sz w:val="28"/>
        </w:rPr>
      </w:pPr>
      <w:r w:rsidRPr="00D7355F">
        <w:rPr>
          <w:rFonts w:cstheme="minorHAnsi"/>
          <w:b/>
          <w:sz w:val="28"/>
        </w:rPr>
        <w:t xml:space="preserve">Naomi says that Boaz is “near of kin” to herself and Ruth.  What are the duties of a near kinsman?  See Leviticus 25:23-28, and 47-50, Jeremiah 32:6-9, Numbers 35:19, and Deuteronomy 25:5-10.  </w:t>
      </w:r>
    </w:p>
    <w:p w:rsidR="00B131F3" w:rsidRDefault="00B5351E" w:rsidP="00D16F17">
      <w:pPr>
        <w:spacing w:after="0"/>
        <w:ind w:left="1800"/>
        <w:rPr>
          <w:rFonts w:cstheme="minorHAnsi"/>
          <w:sz w:val="28"/>
        </w:rPr>
      </w:pPr>
      <w:r>
        <w:rPr>
          <w:rFonts w:cstheme="minorHAnsi"/>
          <w:sz w:val="28"/>
        </w:rPr>
        <w:t xml:space="preserve">The “nearest kinsman” had, in Hebrew culture, several important obligations.  It was his duty to: </w:t>
      </w:r>
    </w:p>
    <w:p w:rsidR="00B5351E" w:rsidRDefault="00B5351E" w:rsidP="00B5351E">
      <w:pPr>
        <w:pStyle w:val="ListParagraph"/>
        <w:numPr>
          <w:ilvl w:val="0"/>
          <w:numId w:val="9"/>
        </w:numPr>
        <w:spacing w:after="0"/>
        <w:rPr>
          <w:rFonts w:cstheme="minorHAnsi"/>
          <w:sz w:val="28"/>
        </w:rPr>
      </w:pPr>
      <w:r>
        <w:rPr>
          <w:rFonts w:cstheme="minorHAnsi"/>
          <w:sz w:val="28"/>
        </w:rPr>
        <w:t xml:space="preserve">Buy back the property a near kinsman had sold to a creditor, or to someone else to meet the creditor’s demands.  </w:t>
      </w:r>
    </w:p>
    <w:p w:rsidR="00B5351E" w:rsidRDefault="00B5351E" w:rsidP="00B5351E">
      <w:pPr>
        <w:pStyle w:val="ListParagraph"/>
        <w:numPr>
          <w:ilvl w:val="0"/>
          <w:numId w:val="9"/>
        </w:numPr>
        <w:spacing w:after="0"/>
        <w:rPr>
          <w:rFonts w:cstheme="minorHAnsi"/>
          <w:sz w:val="28"/>
        </w:rPr>
      </w:pPr>
      <w:r>
        <w:rPr>
          <w:rFonts w:cstheme="minorHAnsi"/>
          <w:sz w:val="28"/>
        </w:rPr>
        <w:lastRenderedPageBreak/>
        <w:t xml:space="preserve">Buy a near relative out of slavery, if he had sold himself into servitude to repay a debt.  </w:t>
      </w:r>
    </w:p>
    <w:p w:rsidR="00B5351E" w:rsidRDefault="00B5351E" w:rsidP="00B5351E">
      <w:pPr>
        <w:pStyle w:val="ListParagraph"/>
        <w:numPr>
          <w:ilvl w:val="0"/>
          <w:numId w:val="9"/>
        </w:numPr>
        <w:spacing w:after="0"/>
        <w:rPr>
          <w:rFonts w:cstheme="minorHAnsi"/>
          <w:sz w:val="28"/>
        </w:rPr>
      </w:pPr>
      <w:r>
        <w:rPr>
          <w:rFonts w:cstheme="minorHAnsi"/>
          <w:sz w:val="28"/>
        </w:rPr>
        <w:t xml:space="preserve">Avenge the murder of a family member.  </w:t>
      </w:r>
    </w:p>
    <w:p w:rsidR="00B5351E" w:rsidRPr="00B5351E" w:rsidRDefault="00B5351E" w:rsidP="00B5351E">
      <w:pPr>
        <w:pStyle w:val="ListParagraph"/>
        <w:numPr>
          <w:ilvl w:val="0"/>
          <w:numId w:val="9"/>
        </w:numPr>
        <w:spacing w:after="0"/>
        <w:rPr>
          <w:rFonts w:cstheme="minorHAnsi"/>
          <w:sz w:val="28"/>
        </w:rPr>
      </w:pPr>
      <w:r>
        <w:rPr>
          <w:rFonts w:cstheme="minorHAnsi"/>
          <w:sz w:val="28"/>
        </w:rPr>
        <w:t xml:space="preserve">Marry the childless widow of a close relative and become the trustee of the property on behalf of the offspring of this union.  </w:t>
      </w:r>
    </w:p>
    <w:p w:rsidR="00B5351E" w:rsidRPr="00B5351E" w:rsidRDefault="00B5351E" w:rsidP="00B5351E">
      <w:pPr>
        <w:pStyle w:val="ListParagraph"/>
        <w:numPr>
          <w:ilvl w:val="0"/>
          <w:numId w:val="8"/>
        </w:numPr>
        <w:spacing w:after="0"/>
        <w:rPr>
          <w:color w:val="000000"/>
          <w:sz w:val="28"/>
          <w:szCs w:val="26"/>
          <w:shd w:val="clear" w:color="auto" w:fill="FFFFFF"/>
        </w:rPr>
      </w:pPr>
      <w:r>
        <w:rPr>
          <w:b/>
          <w:color w:val="000000"/>
          <w:sz w:val="28"/>
          <w:szCs w:val="26"/>
          <w:shd w:val="clear" w:color="auto" w:fill="FFFFFF"/>
        </w:rPr>
        <w:t>T</w:t>
      </w:r>
      <w:r w:rsidRPr="00B5351E">
        <w:rPr>
          <w:b/>
          <w:color w:val="000000"/>
          <w:sz w:val="28"/>
          <w:szCs w:val="26"/>
          <w:shd w:val="clear" w:color="auto" w:fill="FFFFFF"/>
        </w:rPr>
        <w:t xml:space="preserve">he word translated “kinsman” is from the root word </w:t>
      </w:r>
      <w:proofErr w:type="spellStart"/>
      <w:r w:rsidRPr="00B5351E">
        <w:rPr>
          <w:b/>
          <w:color w:val="000000"/>
          <w:sz w:val="28"/>
          <w:szCs w:val="26"/>
          <w:shd w:val="clear" w:color="auto" w:fill="FFFFFF"/>
        </w:rPr>
        <w:t>ga’al</w:t>
      </w:r>
      <w:proofErr w:type="spellEnd"/>
      <w:r w:rsidRPr="00B5351E">
        <w:rPr>
          <w:b/>
          <w:color w:val="000000"/>
          <w:sz w:val="28"/>
          <w:szCs w:val="26"/>
          <w:shd w:val="clear" w:color="auto" w:fill="FFFFFF"/>
        </w:rPr>
        <w:t xml:space="preserve">.  The participle form is the word </w:t>
      </w:r>
      <w:proofErr w:type="spellStart"/>
      <w:r w:rsidRPr="00B5351E">
        <w:rPr>
          <w:b/>
          <w:color w:val="000000"/>
          <w:sz w:val="28"/>
          <w:szCs w:val="26"/>
          <w:shd w:val="clear" w:color="auto" w:fill="FFFFFF"/>
        </w:rPr>
        <w:t>go’el</w:t>
      </w:r>
      <w:proofErr w:type="spellEnd"/>
      <w:r w:rsidRPr="00B5351E">
        <w:rPr>
          <w:b/>
          <w:color w:val="000000"/>
          <w:sz w:val="28"/>
          <w:szCs w:val="26"/>
          <w:shd w:val="clear" w:color="auto" w:fill="FFFFFF"/>
        </w:rPr>
        <w:t xml:space="preserve">, a near relative.  Go to an interlinear Hebrew Bible (you can find one online at https://biblehub.com/interlinear/), to see if you can figure out how these (and related words) are translated in Job 19:25, Hosea 13:14, and Isaiah 43:1, 44:22, 49:7, 54:5-8, and Ruth 2:20, 3:1, 4:6.  What is Naomi saying when she calls Boaz by such a word?  </w:t>
      </w:r>
    </w:p>
    <w:p w:rsidR="00B5351E" w:rsidRDefault="00B5351E" w:rsidP="00B5351E">
      <w:pPr>
        <w:pStyle w:val="ListParagraph"/>
        <w:numPr>
          <w:ilvl w:val="0"/>
          <w:numId w:val="10"/>
        </w:numPr>
        <w:spacing w:after="0"/>
        <w:rPr>
          <w:color w:val="000000"/>
          <w:sz w:val="28"/>
          <w:szCs w:val="26"/>
          <w:shd w:val="clear" w:color="auto" w:fill="FFFFFF"/>
        </w:rPr>
      </w:pPr>
      <w:r>
        <w:rPr>
          <w:color w:val="000000"/>
          <w:sz w:val="28"/>
          <w:szCs w:val="26"/>
          <w:shd w:val="clear" w:color="auto" w:fill="FFFFFF"/>
        </w:rPr>
        <w:t xml:space="preserve">Job 19:25 – </w:t>
      </w:r>
      <w:proofErr w:type="spellStart"/>
      <w:r>
        <w:rPr>
          <w:color w:val="000000"/>
          <w:sz w:val="28"/>
          <w:szCs w:val="26"/>
          <w:shd w:val="clear" w:color="auto" w:fill="FFFFFF"/>
        </w:rPr>
        <w:t>go’ali</w:t>
      </w:r>
      <w:proofErr w:type="spellEnd"/>
      <w:r>
        <w:rPr>
          <w:color w:val="000000"/>
          <w:sz w:val="28"/>
          <w:szCs w:val="26"/>
          <w:shd w:val="clear" w:color="auto" w:fill="FFFFFF"/>
        </w:rPr>
        <w:t xml:space="preserve">, “my Redeemer,” referring to Jesus. </w:t>
      </w:r>
    </w:p>
    <w:p w:rsidR="00B5351E" w:rsidRDefault="00B5351E" w:rsidP="00B5351E">
      <w:pPr>
        <w:pStyle w:val="ListParagraph"/>
        <w:numPr>
          <w:ilvl w:val="0"/>
          <w:numId w:val="10"/>
        </w:numPr>
        <w:spacing w:after="0"/>
        <w:rPr>
          <w:color w:val="000000"/>
          <w:sz w:val="28"/>
          <w:szCs w:val="26"/>
          <w:shd w:val="clear" w:color="auto" w:fill="FFFFFF"/>
        </w:rPr>
      </w:pPr>
      <w:r>
        <w:rPr>
          <w:color w:val="000000"/>
          <w:sz w:val="28"/>
          <w:szCs w:val="26"/>
          <w:shd w:val="clear" w:color="auto" w:fill="FFFFFF"/>
        </w:rPr>
        <w:t>Hosea 13:14—</w:t>
      </w:r>
      <w:proofErr w:type="spellStart"/>
      <w:r>
        <w:rPr>
          <w:color w:val="000000"/>
          <w:sz w:val="28"/>
          <w:szCs w:val="26"/>
          <w:shd w:val="clear" w:color="auto" w:fill="FFFFFF"/>
        </w:rPr>
        <w:t>eg’alem</w:t>
      </w:r>
      <w:proofErr w:type="spellEnd"/>
      <w:r>
        <w:rPr>
          <w:color w:val="000000"/>
          <w:sz w:val="28"/>
          <w:szCs w:val="26"/>
          <w:shd w:val="clear" w:color="auto" w:fill="FFFFFF"/>
        </w:rPr>
        <w:t>, “I will redeem them,” (from death), Jesus speaking</w:t>
      </w:r>
    </w:p>
    <w:p w:rsidR="00B5351E" w:rsidRDefault="00B5351E" w:rsidP="00B5351E">
      <w:pPr>
        <w:pStyle w:val="ListParagraph"/>
        <w:numPr>
          <w:ilvl w:val="0"/>
          <w:numId w:val="10"/>
        </w:numPr>
        <w:spacing w:after="0"/>
        <w:rPr>
          <w:color w:val="000000"/>
          <w:sz w:val="28"/>
          <w:szCs w:val="26"/>
          <w:shd w:val="clear" w:color="auto" w:fill="FFFFFF"/>
        </w:rPr>
      </w:pPr>
      <w:r>
        <w:rPr>
          <w:color w:val="000000"/>
          <w:sz w:val="28"/>
          <w:szCs w:val="26"/>
          <w:shd w:val="clear" w:color="auto" w:fill="FFFFFF"/>
        </w:rPr>
        <w:t>Isaiah 43:1—</w:t>
      </w:r>
      <w:proofErr w:type="spellStart"/>
      <w:r>
        <w:rPr>
          <w:color w:val="000000"/>
          <w:sz w:val="28"/>
          <w:szCs w:val="26"/>
          <w:shd w:val="clear" w:color="auto" w:fill="FFFFFF"/>
        </w:rPr>
        <w:t>ga’altika</w:t>
      </w:r>
      <w:proofErr w:type="spellEnd"/>
      <w:r>
        <w:rPr>
          <w:color w:val="000000"/>
          <w:sz w:val="28"/>
          <w:szCs w:val="26"/>
          <w:shd w:val="clear" w:color="auto" w:fill="FFFFFF"/>
        </w:rPr>
        <w:t>, “I have redeemed you,” God speaking</w:t>
      </w:r>
    </w:p>
    <w:p w:rsidR="00B5351E" w:rsidRDefault="00B5351E" w:rsidP="00B5351E">
      <w:pPr>
        <w:pStyle w:val="ListParagraph"/>
        <w:numPr>
          <w:ilvl w:val="0"/>
          <w:numId w:val="10"/>
        </w:numPr>
        <w:spacing w:after="0"/>
        <w:rPr>
          <w:color w:val="000000"/>
          <w:sz w:val="28"/>
          <w:szCs w:val="26"/>
          <w:shd w:val="clear" w:color="auto" w:fill="FFFFFF"/>
        </w:rPr>
      </w:pPr>
      <w:r>
        <w:rPr>
          <w:color w:val="000000"/>
          <w:sz w:val="28"/>
          <w:szCs w:val="26"/>
          <w:shd w:val="clear" w:color="auto" w:fill="FFFFFF"/>
        </w:rPr>
        <w:t>Isaiah 44:22—</w:t>
      </w:r>
      <w:proofErr w:type="spellStart"/>
      <w:r>
        <w:rPr>
          <w:color w:val="000000"/>
          <w:sz w:val="28"/>
          <w:szCs w:val="26"/>
          <w:shd w:val="clear" w:color="auto" w:fill="FFFFFF"/>
        </w:rPr>
        <w:t>ga’altika</w:t>
      </w:r>
      <w:proofErr w:type="spellEnd"/>
      <w:r>
        <w:rPr>
          <w:color w:val="000000"/>
          <w:sz w:val="28"/>
          <w:szCs w:val="26"/>
          <w:shd w:val="clear" w:color="auto" w:fill="FFFFFF"/>
        </w:rPr>
        <w:t>, “I have redeemed you,” God speaking</w:t>
      </w:r>
    </w:p>
    <w:p w:rsidR="00B5351E" w:rsidRDefault="00B5351E" w:rsidP="00B5351E">
      <w:pPr>
        <w:pStyle w:val="ListParagraph"/>
        <w:numPr>
          <w:ilvl w:val="0"/>
          <w:numId w:val="10"/>
        </w:numPr>
        <w:spacing w:after="0"/>
        <w:rPr>
          <w:color w:val="000000"/>
          <w:sz w:val="28"/>
          <w:szCs w:val="26"/>
          <w:shd w:val="clear" w:color="auto" w:fill="FFFFFF"/>
        </w:rPr>
      </w:pPr>
      <w:r>
        <w:rPr>
          <w:color w:val="000000"/>
          <w:sz w:val="28"/>
          <w:szCs w:val="26"/>
          <w:shd w:val="clear" w:color="auto" w:fill="FFFFFF"/>
        </w:rPr>
        <w:t>Isaiah 49:7—</w:t>
      </w:r>
      <w:proofErr w:type="spellStart"/>
      <w:r>
        <w:rPr>
          <w:color w:val="000000"/>
          <w:sz w:val="28"/>
          <w:szCs w:val="26"/>
          <w:shd w:val="clear" w:color="auto" w:fill="FFFFFF"/>
        </w:rPr>
        <w:t>go’el</w:t>
      </w:r>
      <w:proofErr w:type="spellEnd"/>
      <w:r>
        <w:rPr>
          <w:color w:val="000000"/>
          <w:sz w:val="28"/>
          <w:szCs w:val="26"/>
          <w:shd w:val="clear" w:color="auto" w:fill="FFFFFF"/>
        </w:rPr>
        <w:t xml:space="preserve">, “the Redeemer,” Yahweh.  </w:t>
      </w:r>
    </w:p>
    <w:p w:rsidR="007F74DB" w:rsidRDefault="00B5351E" w:rsidP="007F74DB">
      <w:pPr>
        <w:pStyle w:val="ListParagraph"/>
        <w:numPr>
          <w:ilvl w:val="0"/>
          <w:numId w:val="10"/>
        </w:numPr>
        <w:spacing w:after="0"/>
        <w:rPr>
          <w:color w:val="000000"/>
          <w:sz w:val="28"/>
          <w:szCs w:val="26"/>
          <w:shd w:val="clear" w:color="auto" w:fill="FFFFFF"/>
        </w:rPr>
      </w:pPr>
      <w:r>
        <w:rPr>
          <w:color w:val="000000"/>
          <w:sz w:val="28"/>
          <w:szCs w:val="26"/>
          <w:shd w:val="clear" w:color="auto" w:fill="FFFFFF"/>
        </w:rPr>
        <w:t xml:space="preserve">Isaiah </w:t>
      </w:r>
      <w:r w:rsidR="007F74DB">
        <w:rPr>
          <w:color w:val="000000"/>
          <w:sz w:val="28"/>
          <w:szCs w:val="26"/>
          <w:shd w:val="clear" w:color="auto" w:fill="FFFFFF"/>
        </w:rPr>
        <w:t>54:5-8—</w:t>
      </w:r>
      <w:proofErr w:type="spellStart"/>
      <w:r w:rsidR="007F74DB">
        <w:rPr>
          <w:color w:val="000000"/>
          <w:sz w:val="28"/>
          <w:szCs w:val="26"/>
          <w:shd w:val="clear" w:color="auto" w:fill="FFFFFF"/>
        </w:rPr>
        <w:t>go’al</w:t>
      </w:r>
      <w:proofErr w:type="spellEnd"/>
      <w:r w:rsidR="007F74DB">
        <w:rPr>
          <w:color w:val="000000"/>
          <w:sz w:val="28"/>
          <w:szCs w:val="26"/>
          <w:shd w:val="clear" w:color="auto" w:fill="FFFFFF"/>
        </w:rPr>
        <w:t xml:space="preserve">, “your Redeemer,” that is, Yahweh is your Creator and your Redeemer.  </w:t>
      </w:r>
    </w:p>
    <w:p w:rsidR="007F74DB" w:rsidRDefault="007F74DB" w:rsidP="007F74DB">
      <w:pPr>
        <w:pStyle w:val="ListParagraph"/>
        <w:numPr>
          <w:ilvl w:val="0"/>
          <w:numId w:val="10"/>
        </w:numPr>
        <w:spacing w:after="0"/>
        <w:rPr>
          <w:color w:val="000000"/>
          <w:sz w:val="28"/>
          <w:szCs w:val="26"/>
          <w:shd w:val="clear" w:color="auto" w:fill="FFFFFF"/>
        </w:rPr>
      </w:pPr>
      <w:r>
        <w:rPr>
          <w:color w:val="000000"/>
          <w:sz w:val="28"/>
          <w:szCs w:val="26"/>
          <w:shd w:val="clear" w:color="auto" w:fill="FFFFFF"/>
        </w:rPr>
        <w:t>Ruth 2:20—</w:t>
      </w:r>
      <w:proofErr w:type="spellStart"/>
      <w:r>
        <w:rPr>
          <w:color w:val="000000"/>
          <w:sz w:val="28"/>
          <w:szCs w:val="26"/>
          <w:shd w:val="clear" w:color="auto" w:fill="FFFFFF"/>
        </w:rPr>
        <w:t>go’al</w:t>
      </w:r>
      <w:proofErr w:type="spellEnd"/>
      <w:r>
        <w:rPr>
          <w:color w:val="000000"/>
          <w:sz w:val="28"/>
          <w:szCs w:val="26"/>
          <w:shd w:val="clear" w:color="auto" w:fill="FFFFFF"/>
        </w:rPr>
        <w:t>, “kinsman-redeemer,” referring to Boaz</w:t>
      </w:r>
    </w:p>
    <w:p w:rsidR="00B5351E" w:rsidRPr="007F74DB" w:rsidRDefault="007F74DB" w:rsidP="00B5351E">
      <w:pPr>
        <w:pStyle w:val="ListParagraph"/>
        <w:numPr>
          <w:ilvl w:val="0"/>
          <w:numId w:val="10"/>
        </w:numPr>
        <w:spacing w:after="0"/>
        <w:rPr>
          <w:color w:val="000000"/>
          <w:sz w:val="28"/>
          <w:szCs w:val="26"/>
          <w:shd w:val="clear" w:color="auto" w:fill="FFFFFF"/>
        </w:rPr>
      </w:pPr>
      <w:r w:rsidRPr="007F74DB">
        <w:rPr>
          <w:color w:val="000000"/>
          <w:sz w:val="28"/>
          <w:szCs w:val="26"/>
          <w:shd w:val="clear" w:color="auto" w:fill="FFFFFF"/>
        </w:rPr>
        <w:t>Ruth 4:6—</w:t>
      </w:r>
      <w:proofErr w:type="spellStart"/>
      <w:r w:rsidRPr="007F74DB">
        <w:rPr>
          <w:color w:val="000000"/>
          <w:sz w:val="28"/>
          <w:szCs w:val="26"/>
          <w:shd w:val="clear" w:color="auto" w:fill="FFFFFF"/>
        </w:rPr>
        <w:t>go’el</w:t>
      </w:r>
      <w:proofErr w:type="spellEnd"/>
      <w:r w:rsidRPr="007F74DB">
        <w:rPr>
          <w:color w:val="000000"/>
          <w:sz w:val="28"/>
          <w:szCs w:val="26"/>
          <w:shd w:val="clear" w:color="auto" w:fill="FFFFFF"/>
        </w:rPr>
        <w:t xml:space="preserve">, “the kinsman redeemer,” referring to the duties of the near kinsman.  </w:t>
      </w:r>
    </w:p>
    <w:p w:rsidR="009B6E8B" w:rsidRDefault="00B5351E" w:rsidP="00B5351E">
      <w:pPr>
        <w:pStyle w:val="ListParagraph"/>
        <w:spacing w:after="0"/>
        <w:ind w:left="1800"/>
        <w:rPr>
          <w:color w:val="000000"/>
          <w:sz w:val="28"/>
          <w:szCs w:val="26"/>
          <w:shd w:val="clear" w:color="auto" w:fill="FFFFFF"/>
        </w:rPr>
      </w:pPr>
      <w:r>
        <w:rPr>
          <w:color w:val="000000"/>
          <w:sz w:val="28"/>
          <w:szCs w:val="26"/>
          <w:shd w:val="clear" w:color="auto" w:fill="FFFFFF"/>
        </w:rPr>
        <w:t xml:space="preserve">The word is closely associated with the idea of a “redeemer.”  Some interlinear Bibles translate it as “kinsman redeemer.”  </w:t>
      </w:r>
    </w:p>
    <w:p w:rsidR="004D1271" w:rsidRPr="00691DFF" w:rsidRDefault="004D1271" w:rsidP="00B5351E">
      <w:pPr>
        <w:pStyle w:val="ListParagraph"/>
        <w:spacing w:after="0"/>
        <w:ind w:left="1800"/>
        <w:rPr>
          <w:color w:val="000000"/>
          <w:sz w:val="28"/>
          <w:szCs w:val="26"/>
          <w:shd w:val="clear" w:color="auto" w:fill="FFFFFF"/>
        </w:rPr>
      </w:pPr>
      <w:r>
        <w:rPr>
          <w:color w:val="000000"/>
          <w:sz w:val="28"/>
          <w:szCs w:val="26"/>
          <w:shd w:val="clear" w:color="auto" w:fill="FFFFFF"/>
        </w:rPr>
        <w:t xml:space="preserve">Naomi no doubt explains the obligations of the nearest kinsman and the customs of levirate marriage to Ruth at this time!  The implications of the word “kinsman-redeemer” would have been completely clear to the original readers of the text, and any further explanation unnecessary.  Boaz, as a near kinsman, has the right of redeeming </w:t>
      </w:r>
      <w:proofErr w:type="spellStart"/>
      <w:r>
        <w:rPr>
          <w:color w:val="000000"/>
          <w:sz w:val="28"/>
          <w:szCs w:val="26"/>
          <w:shd w:val="clear" w:color="auto" w:fill="FFFFFF"/>
        </w:rPr>
        <w:t>Elimelech’s</w:t>
      </w:r>
      <w:proofErr w:type="spellEnd"/>
      <w:r>
        <w:rPr>
          <w:color w:val="000000"/>
          <w:sz w:val="28"/>
          <w:szCs w:val="26"/>
          <w:shd w:val="clear" w:color="auto" w:fill="FFFFFF"/>
        </w:rPr>
        <w:t xml:space="preserve"> property, which had probably already been sold for debt.  Ruther probably doesn’t quite understand what that right to redeem implies in Jewish custom, but she certainly tells Naomi that, in addition to other privileges, Boaz has urged her to remain in his part of the fields throughout the harvest.  Naomi heartily approves of Boaz’ invitation.  </w:t>
      </w:r>
    </w:p>
    <w:p w:rsidR="007F74DB" w:rsidRPr="007F74DB" w:rsidRDefault="007F74DB" w:rsidP="007F74DB">
      <w:pPr>
        <w:pStyle w:val="ListParagraph"/>
        <w:numPr>
          <w:ilvl w:val="0"/>
          <w:numId w:val="8"/>
        </w:numPr>
        <w:rPr>
          <w:b/>
          <w:color w:val="000000"/>
          <w:sz w:val="28"/>
          <w:szCs w:val="26"/>
          <w:shd w:val="clear" w:color="auto" w:fill="FFFFFF"/>
        </w:rPr>
      </w:pPr>
      <w:r w:rsidRPr="007F74DB">
        <w:rPr>
          <w:b/>
          <w:color w:val="000000"/>
          <w:sz w:val="28"/>
          <w:szCs w:val="26"/>
          <w:shd w:val="clear" w:color="auto" w:fill="FFFFFF"/>
        </w:rPr>
        <w:t xml:space="preserve">Do you see any connections here between the </w:t>
      </w:r>
      <w:proofErr w:type="spellStart"/>
      <w:r w:rsidRPr="007F74DB">
        <w:rPr>
          <w:b/>
          <w:color w:val="000000"/>
          <w:sz w:val="28"/>
          <w:szCs w:val="26"/>
          <w:shd w:val="clear" w:color="auto" w:fill="FFFFFF"/>
        </w:rPr>
        <w:t>Moabitess</w:t>
      </w:r>
      <w:proofErr w:type="spellEnd"/>
      <w:r w:rsidRPr="007F74DB">
        <w:rPr>
          <w:b/>
          <w:color w:val="000000"/>
          <w:sz w:val="28"/>
          <w:szCs w:val="26"/>
          <w:shd w:val="clear" w:color="auto" w:fill="FFFFFF"/>
        </w:rPr>
        <w:t xml:space="preserve"> Ruth and her kinsman-redeemer described here at the time of barley harvest and the larger plan God has for His gentile people?  </w:t>
      </w:r>
    </w:p>
    <w:p w:rsidR="004B604F" w:rsidRDefault="007F74DB" w:rsidP="004B604F">
      <w:pPr>
        <w:pStyle w:val="ListParagraph"/>
        <w:spacing w:after="0"/>
        <w:ind w:left="1800"/>
        <w:rPr>
          <w:rFonts w:cstheme="minorHAnsi"/>
          <w:sz w:val="28"/>
        </w:rPr>
      </w:pPr>
      <w:r>
        <w:rPr>
          <w:rFonts w:cstheme="minorHAnsi"/>
          <w:sz w:val="28"/>
        </w:rPr>
        <w:t xml:space="preserve">Many Bible writers adopt the figure of the near kinsman as a “redeemer” and applied it to God as THE Redeemer of man from sin and death.  Job says, “I know </w:t>
      </w:r>
      <w:r>
        <w:rPr>
          <w:rFonts w:cstheme="minorHAnsi"/>
          <w:sz w:val="28"/>
        </w:rPr>
        <w:lastRenderedPageBreak/>
        <w:t xml:space="preserve">that my Redeemer </w:t>
      </w:r>
      <w:proofErr w:type="spellStart"/>
      <w:r>
        <w:rPr>
          <w:rFonts w:cstheme="minorHAnsi"/>
          <w:sz w:val="28"/>
        </w:rPr>
        <w:t>liveth</w:t>
      </w:r>
      <w:proofErr w:type="spellEnd"/>
      <w:r>
        <w:rPr>
          <w:rFonts w:cstheme="minorHAnsi"/>
          <w:sz w:val="28"/>
        </w:rPr>
        <w:t>.”  This is the One who would redeem</w:t>
      </w:r>
      <w:bookmarkStart w:id="0" w:name="_GoBack"/>
      <w:bookmarkEnd w:id="0"/>
      <w:r>
        <w:rPr>
          <w:rFonts w:cstheme="minorHAnsi"/>
          <w:sz w:val="28"/>
        </w:rPr>
        <w:t xml:space="preserve"> him from the grave at the resurrection.  Isaiah uses variations of this word 18 times in reference to God as the Redeemer of Israel from their foes, and of men from the clutches of sin.  So we see that Christ is placed as our own “Near Kinsman,” who accepted on our behalf the responsibilities implied in that relationship.  Christ has accepted the close, affectionate role of kinsman-Redeemer for fallen humanity.  And He never declines, as does Naomi’s next-of-kin, to redeem His children.  John 6:37 tells us that He will in no wise cast us out!  </w:t>
      </w:r>
    </w:p>
    <w:p w:rsidR="004B604F" w:rsidRPr="00511FAA" w:rsidRDefault="004B604F" w:rsidP="00D7355F">
      <w:pPr>
        <w:pStyle w:val="ListParagraph"/>
        <w:numPr>
          <w:ilvl w:val="0"/>
          <w:numId w:val="8"/>
        </w:numPr>
        <w:spacing w:after="0"/>
        <w:rPr>
          <w:rFonts w:cstheme="minorHAnsi"/>
          <w:b/>
          <w:color w:val="7030A0"/>
          <w:sz w:val="32"/>
        </w:rPr>
      </w:pPr>
      <w:r w:rsidRPr="00511FAA">
        <w:rPr>
          <w:rFonts w:cstheme="minorHAnsi"/>
          <w:b/>
          <w:color w:val="7030A0"/>
          <w:sz w:val="32"/>
        </w:rPr>
        <w:t xml:space="preserve">Are there any other pieces of information you’ve discovered in the course of your research that you would like to mention?  </w:t>
      </w:r>
    </w:p>
    <w:p w:rsidR="007F74DB" w:rsidRDefault="007F74DB" w:rsidP="00366750">
      <w:pPr>
        <w:spacing w:after="0"/>
        <w:ind w:left="1800"/>
        <w:rPr>
          <w:rFonts w:ascii="Kristen ITC" w:hAnsi="Kristen ITC" w:cstheme="minorHAnsi"/>
          <w:b/>
          <w:sz w:val="32"/>
        </w:rPr>
      </w:pPr>
      <w:r>
        <w:rPr>
          <w:rFonts w:ascii="Kristen ITC" w:hAnsi="Kristen ITC" w:cstheme="minorHAnsi"/>
          <w:b/>
          <w:sz w:val="32"/>
        </w:rPr>
        <w:t xml:space="preserve">According to the commentaries, “It was at the time of harvest that Ruth received her reward from the nearest of kin, her “redeemer.”  For us, “the harvest is the end of the world” (Matt. 13:39).  Then our Redeemer will come to take us home with Him.”  </w:t>
      </w:r>
    </w:p>
    <w:p w:rsidR="00366750" w:rsidRPr="00F521DA" w:rsidRDefault="007F74DB" w:rsidP="00366750">
      <w:pPr>
        <w:spacing w:after="0"/>
        <w:ind w:left="1800"/>
        <w:rPr>
          <w:rFonts w:ascii="Kristen ITC" w:hAnsi="Kristen ITC" w:cstheme="minorHAnsi"/>
          <w:b/>
          <w:sz w:val="32"/>
        </w:rPr>
      </w:pPr>
      <w:r>
        <w:rPr>
          <w:rFonts w:ascii="Kristen ITC" w:hAnsi="Kristen ITC" w:cstheme="minorHAnsi"/>
          <w:b/>
          <w:sz w:val="32"/>
        </w:rPr>
        <w:t xml:space="preserve">So the whole story of Ruth becomes almost an allegory for the salvation of God’s gentile people!  We too are strangers who have no right to expect grace, but it is given abundantly by our Redeemer!  </w:t>
      </w:r>
      <w:r w:rsidR="002A1405">
        <w:rPr>
          <w:rFonts w:ascii="Kristen ITC" w:hAnsi="Kristen ITC" w:cstheme="minorHAnsi"/>
          <w:b/>
          <w:sz w:val="32"/>
        </w:rPr>
        <w:t xml:space="preserve">  </w:t>
      </w:r>
    </w:p>
    <w:sectPr w:rsidR="00366750" w:rsidRPr="00F521DA"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271" w:rsidRDefault="004D1271" w:rsidP="005977CD">
      <w:pPr>
        <w:spacing w:after="0" w:line="240" w:lineRule="auto"/>
      </w:pPr>
      <w:r>
        <w:separator/>
      </w:r>
    </w:p>
  </w:endnote>
  <w:endnote w:type="continuationSeparator" w:id="0">
    <w:p w:rsidR="004D1271" w:rsidRDefault="004D1271"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271" w:rsidRDefault="004D1271" w:rsidP="005977CD">
      <w:pPr>
        <w:spacing w:after="0" w:line="240" w:lineRule="auto"/>
      </w:pPr>
      <w:r>
        <w:separator/>
      </w:r>
    </w:p>
  </w:footnote>
  <w:footnote w:type="continuationSeparator" w:id="0">
    <w:p w:rsidR="004D1271" w:rsidRDefault="004D1271"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1271" w:rsidRDefault="004D12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 w:numId="8">
    <w:abstractNumId w:val="9"/>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55BC"/>
    <w:rsid w:val="00090707"/>
    <w:rsid w:val="00121CFF"/>
    <w:rsid w:val="00181414"/>
    <w:rsid w:val="001A1C92"/>
    <w:rsid w:val="001A61AD"/>
    <w:rsid w:val="001B0501"/>
    <w:rsid w:val="001B1A64"/>
    <w:rsid w:val="001B2DAB"/>
    <w:rsid w:val="001D4648"/>
    <w:rsid w:val="002460BE"/>
    <w:rsid w:val="00262141"/>
    <w:rsid w:val="00265773"/>
    <w:rsid w:val="002A1405"/>
    <w:rsid w:val="00366750"/>
    <w:rsid w:val="003A608C"/>
    <w:rsid w:val="004A3C64"/>
    <w:rsid w:val="004B604F"/>
    <w:rsid w:val="004D1271"/>
    <w:rsid w:val="00511FAA"/>
    <w:rsid w:val="0055061D"/>
    <w:rsid w:val="00560E3C"/>
    <w:rsid w:val="00573CBA"/>
    <w:rsid w:val="00581F1B"/>
    <w:rsid w:val="005977CD"/>
    <w:rsid w:val="0059796F"/>
    <w:rsid w:val="0060397F"/>
    <w:rsid w:val="00630A1C"/>
    <w:rsid w:val="00691DFF"/>
    <w:rsid w:val="006C3EA4"/>
    <w:rsid w:val="00740DFF"/>
    <w:rsid w:val="007C553F"/>
    <w:rsid w:val="007E0695"/>
    <w:rsid w:val="007F74DB"/>
    <w:rsid w:val="00877E14"/>
    <w:rsid w:val="008B4578"/>
    <w:rsid w:val="008C4334"/>
    <w:rsid w:val="008E57F0"/>
    <w:rsid w:val="009B6E8B"/>
    <w:rsid w:val="009D2ED8"/>
    <w:rsid w:val="00A057E0"/>
    <w:rsid w:val="00A37960"/>
    <w:rsid w:val="00A64CF0"/>
    <w:rsid w:val="00AE105A"/>
    <w:rsid w:val="00AF5BEC"/>
    <w:rsid w:val="00AF61FF"/>
    <w:rsid w:val="00B131F3"/>
    <w:rsid w:val="00B5351E"/>
    <w:rsid w:val="00B56EA9"/>
    <w:rsid w:val="00C30FCA"/>
    <w:rsid w:val="00CD4E3F"/>
    <w:rsid w:val="00D16F17"/>
    <w:rsid w:val="00D17921"/>
    <w:rsid w:val="00D7355F"/>
    <w:rsid w:val="00E30225"/>
    <w:rsid w:val="00E360AA"/>
    <w:rsid w:val="00F521DA"/>
    <w:rsid w:val="00F71596"/>
    <w:rsid w:val="00F72574"/>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2022-04-06T22:46:00Z</cp:lastPrinted>
  <dcterms:created xsi:type="dcterms:W3CDTF">2022-04-27T20:05:00Z</dcterms:created>
  <dcterms:modified xsi:type="dcterms:W3CDTF">2022-04-27T21:40:00Z</dcterms:modified>
</cp:coreProperties>
</file>