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FF8" w:rsidRPr="003711C4" w:rsidRDefault="003711C4" w:rsidP="003711C4">
      <w:pPr>
        <w:jc w:val="center"/>
        <w:rPr>
          <w:b/>
          <w:sz w:val="32"/>
        </w:rPr>
      </w:pPr>
      <w:r w:rsidRPr="003711C4">
        <w:rPr>
          <w:b/>
          <w:sz w:val="32"/>
        </w:rPr>
        <w:t xml:space="preserve">The Israelites in the Wilderness Discussion </w:t>
      </w:r>
      <w:r w:rsidR="001B192D">
        <w:rPr>
          <w:b/>
          <w:sz w:val="32"/>
        </w:rPr>
        <w:t xml:space="preserve"># </w:t>
      </w:r>
      <w:r w:rsidRPr="003711C4">
        <w:rPr>
          <w:b/>
          <w:sz w:val="32"/>
        </w:rPr>
        <w:t>01</w:t>
      </w:r>
      <w:r w:rsidR="001B192D">
        <w:rPr>
          <w:b/>
          <w:sz w:val="32"/>
        </w:rPr>
        <w:t>—Prepare for 7/8/20</w:t>
      </w:r>
    </w:p>
    <w:p w:rsidR="003711C4" w:rsidRDefault="003711C4" w:rsidP="003711C4">
      <w:pPr>
        <w:jc w:val="center"/>
        <w:rPr>
          <w:sz w:val="32"/>
        </w:rPr>
      </w:pPr>
      <w:r>
        <w:rPr>
          <w:sz w:val="32"/>
        </w:rPr>
        <w:t xml:space="preserve">Read:  </w:t>
      </w:r>
      <w:r w:rsidRPr="003711C4">
        <w:rPr>
          <w:b/>
          <w:sz w:val="32"/>
          <w:u w:val="single"/>
        </w:rPr>
        <w:t xml:space="preserve">Leviticus </w:t>
      </w:r>
      <w:r w:rsidR="009C3A2A">
        <w:rPr>
          <w:b/>
          <w:sz w:val="32"/>
          <w:u w:val="single"/>
        </w:rPr>
        <w:t xml:space="preserve">9:22-24 </w:t>
      </w:r>
      <w:r w:rsidR="009C3A2A" w:rsidRPr="009C3A2A">
        <w:rPr>
          <w:sz w:val="32"/>
          <w:u w:val="single"/>
        </w:rPr>
        <w:t>and</w:t>
      </w:r>
      <w:r w:rsidR="009C3A2A">
        <w:rPr>
          <w:b/>
          <w:sz w:val="32"/>
          <w:u w:val="single"/>
        </w:rPr>
        <w:t xml:space="preserve"> Leviticus 10:1-20</w:t>
      </w:r>
    </w:p>
    <w:p w:rsidR="003711C4" w:rsidRPr="009C3A2A" w:rsidRDefault="00436A3F" w:rsidP="009C3A2A">
      <w:pPr>
        <w:spacing w:line="276" w:lineRule="auto"/>
        <w:rPr>
          <w:b/>
          <w:sz w:val="28"/>
        </w:rPr>
      </w:pPr>
      <w:r w:rsidRPr="009C3A2A">
        <w:rPr>
          <w:b/>
          <w:sz w:val="28"/>
        </w:rPr>
        <w:t>Why Leviticus 10</w:t>
      </w:r>
      <w:r w:rsidR="003711C4" w:rsidRPr="009C3A2A">
        <w:rPr>
          <w:b/>
          <w:sz w:val="28"/>
        </w:rPr>
        <w:t>?</w:t>
      </w:r>
    </w:p>
    <w:p w:rsidR="009F6C04" w:rsidRPr="009C3A2A" w:rsidRDefault="00F72695" w:rsidP="009C3A2A">
      <w:pPr>
        <w:spacing w:line="276" w:lineRule="auto"/>
        <w:rPr>
          <w:sz w:val="28"/>
        </w:rPr>
      </w:pPr>
      <w:r>
        <w:rPr>
          <w:noProof/>
          <w:sz w:val="28"/>
        </w:rPr>
        <mc:AlternateContent>
          <mc:Choice Requires="wps">
            <w:drawing>
              <wp:anchor distT="0" distB="0" distL="114300" distR="114300" simplePos="0" relativeHeight="251660288" behindDoc="1" locked="0" layoutInCell="1" allowOverlap="1">
                <wp:simplePos x="0" y="0"/>
                <wp:positionH relativeFrom="column">
                  <wp:posOffset>-78059</wp:posOffset>
                </wp:positionH>
                <wp:positionV relativeFrom="paragraph">
                  <wp:posOffset>2073740</wp:posOffset>
                </wp:positionV>
                <wp:extent cx="7136781" cy="1940312"/>
                <wp:effectExtent l="0" t="0" r="26035" b="22225"/>
                <wp:wrapTight wrapText="bothSides">
                  <wp:wrapPolygon edited="0">
                    <wp:start x="0" y="0"/>
                    <wp:lineTo x="0" y="21635"/>
                    <wp:lineTo x="21621" y="21635"/>
                    <wp:lineTo x="21621"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7136781" cy="1940312"/>
                        </a:xfrm>
                        <a:prstGeom prst="rect">
                          <a:avLst/>
                        </a:prstGeom>
                        <a:solidFill>
                          <a:schemeClr val="accent1">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72695" w:rsidRPr="009C3A2A" w:rsidRDefault="00F72695" w:rsidP="00F72695">
                            <w:pPr>
                              <w:spacing w:line="276" w:lineRule="auto"/>
                              <w:rPr>
                                <w:b/>
                                <w:sz w:val="28"/>
                              </w:rPr>
                            </w:pPr>
                            <w:r w:rsidRPr="009C3A2A">
                              <w:rPr>
                                <w:b/>
                                <w:sz w:val="28"/>
                              </w:rPr>
                              <w:t xml:space="preserve">Dating Leviticus 10:  </w:t>
                            </w:r>
                          </w:p>
                          <w:p w:rsidR="00F72695" w:rsidRPr="009C3A2A" w:rsidRDefault="00F72695" w:rsidP="00F72695">
                            <w:pPr>
                              <w:spacing w:line="276" w:lineRule="auto"/>
                              <w:rPr>
                                <w:sz w:val="28"/>
                              </w:rPr>
                            </w:pPr>
                            <w:r w:rsidRPr="009C3A2A">
                              <w:rPr>
                                <w:sz w:val="28"/>
                              </w:rPr>
                              <w:t xml:space="preserve">If we accept that Joseph came to power under a Hyksos Pharaoh, as we have tentatively suggested in our Exodus study, this places the Exodus (very roughly) in the middle of the fifteenth century, at about the year 1445 BC.  Please note that this is only a hypothesis!  There is evidence in its favor, and some evidence against it.  Nevertheless, if we accept this as a starting point, then the tabernacle was erected one year later, say 1444 BC.  Thus the events of this chapter would be placed, again very roughly, in perhaps 1444 BC.  </w:t>
                            </w:r>
                          </w:p>
                          <w:p w:rsidR="00F72695" w:rsidRDefault="00F726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15pt;margin-top:163.3pt;width:561.95pt;height:152.8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jE+tAIAAPkFAAAOAAAAZHJzL2Uyb0RvYy54bWysVFtP2zAUfp+0/2D5fSQpHZeKFHUgpkkM&#10;0GDi2XVsamH7eLbbpPv1O3bSC2yaxLSX5Pjcz3cuZ+ed0WQlfFBga1odlJQIy6FR9qmm3x+uPpxQ&#10;EiKzDdNgRU3XItDz6ft3Z62biBEsQDfCE3Riw6R1NV3E6CZFEfhCGBYOwAmLQgnesIhP/1Q0nrXo&#10;3ehiVJZHRQu+cR64CAG5l72QTrN/KQWPt1IGEYmuKeYW89fn7zx9i+kZmzx55haKD2mwf8jCMGUx&#10;6NbVJYuMLL36zZVR3EMAGQ84mAKkVFzkGrCaqnxVzf2COZFrQXCC28IU/p9bfrO680Q1NR1RYpnB&#10;Fj2ILpJP0JFRQqd1YYJK9w7VYods7PKGH5CZiu6kN+mP5RCUI87rLbbJGUfmcXV4dHxSUcJRVp2O&#10;y8Mq+y925s6H+FmAIYmoqcfmZUzZ6jpETAVVNyopWgCtmiuldX6kgREX2pMVw1YzzoWNVTbXS/MV&#10;mp6PI1MOTUc2jkbPPtmwMUQeveQpB3wRRFvS1vTo8GOZHb+Qpcy24eea8eeEUvK3SxNf2qZsRZ7M&#10;oaqEcI9kpuJai6Sj7TchsTMZ0L+U2EfJ2klLIiBvMRz0d1m9xbivAy1yZLBxa2yUBd+j9LIzzXMe&#10;H4RC9voI0l7diYzdvMsjuR20OTRrnD8P/f4Gx68U4n3NQrxjHhcWRw6PULzFj9SATYKBomQB/uef&#10;+Ekf9willLR4AGoafiyZF5ToLxY37LQaj9PFyI/xx+MRPvy+ZL4vsUtzATh4OOCYXSaTftQbUnow&#10;j3irZikqipjlGLumcUNexP4s4a3jYjbLSngjHIvX9t7x5DqhnObsoXtk3g1rEnHDbmBzKtjk1bb0&#10;usnSwmwZQaq8SgnnHtUBf7wveVyHW5gO2P47a+0u9vQXAAAA//8DAFBLAwQUAAYACAAAACEA0tgB&#10;6t4AAAAMAQAADwAAAGRycy9kb3ducmV2LnhtbEyPTWvDMAyG74P9B6PBbq3zAaZkcUpbtlNPTQe7&#10;urGXhNlysN0026+fetp0ktDDq0f1dnGWzSbE0aOEfJ0BM9h5PWIv4f38ttoAi0mhVtajkfBtImyb&#10;x4daVdrf8GTmNvWMQjBWSsKQ0lRxHrvBOBXXfjJIu08fnEo0hp7roG4U7iwvskxwp0akC4OazGEw&#10;3Vd7dRKOLf95PR+9mKzbfIT8VM77A0r5/LTsXoAls6Q/GO76pA4NOV38FXVkVsIqL0pCJZSFEMDu&#10;BBV1FwmiLArgTc3/P9H8AgAA//8DAFBLAQItABQABgAIAAAAIQC2gziS/gAAAOEBAAATAAAAAAAA&#10;AAAAAAAAAAAAAABbQ29udGVudF9UeXBlc10ueG1sUEsBAi0AFAAGAAgAAAAhADj9If/WAAAAlAEA&#10;AAsAAAAAAAAAAAAAAAAALwEAAF9yZWxzLy5yZWxzUEsBAi0AFAAGAAgAAAAhANcmMT60AgAA+QUA&#10;AA4AAAAAAAAAAAAAAAAALgIAAGRycy9lMm9Eb2MueG1sUEsBAi0AFAAGAAgAAAAhANLYAereAAAA&#10;DAEAAA8AAAAAAAAAAAAAAAAADgUAAGRycy9kb3ducmV2LnhtbFBLBQYAAAAABAAEAPMAAAAZBgAA&#10;AAA=&#10;" fillcolor="#deeaf6 [660]" strokeweight=".5pt">
                <v:textbox>
                  <w:txbxContent>
                    <w:p w:rsidR="00F72695" w:rsidRPr="009C3A2A" w:rsidRDefault="00F72695" w:rsidP="00F72695">
                      <w:pPr>
                        <w:spacing w:line="276" w:lineRule="auto"/>
                        <w:rPr>
                          <w:b/>
                          <w:sz w:val="28"/>
                        </w:rPr>
                      </w:pPr>
                      <w:r w:rsidRPr="009C3A2A">
                        <w:rPr>
                          <w:b/>
                          <w:sz w:val="28"/>
                        </w:rPr>
                        <w:t xml:space="preserve">Dating Leviticus 10:  </w:t>
                      </w:r>
                    </w:p>
                    <w:p w:rsidR="00F72695" w:rsidRPr="009C3A2A" w:rsidRDefault="00F72695" w:rsidP="00F72695">
                      <w:pPr>
                        <w:spacing w:line="276" w:lineRule="auto"/>
                        <w:rPr>
                          <w:sz w:val="28"/>
                        </w:rPr>
                      </w:pPr>
                      <w:r w:rsidRPr="009C3A2A">
                        <w:rPr>
                          <w:sz w:val="28"/>
                        </w:rPr>
                        <w:t xml:space="preserve">If we accept that Joseph came to power under a Hyksos Pharaoh, as we have tentatively suggested in our Exodus study, this places the Exodus (very roughly) in the middle of the fifteenth century, at about the year 1445 BC.  Please note that this is only a hypothesis!  There is evidence in its favor, and some evidence against it.  Nevertheless, if we accept this as a starting point, then the tabernacle was erected one year later, say 1444 BC.  Thus the events of this chapter would be placed, again very roughly, in perhaps 1444 BC.  </w:t>
                      </w:r>
                    </w:p>
                    <w:p w:rsidR="00F72695" w:rsidRDefault="00F72695"/>
                  </w:txbxContent>
                </v:textbox>
                <w10:wrap type="tight"/>
              </v:shape>
            </w:pict>
          </mc:Fallback>
        </mc:AlternateContent>
      </w:r>
      <w:r w:rsidR="00436A3F" w:rsidRPr="009C3A2A">
        <w:rPr>
          <w:sz w:val="28"/>
        </w:rPr>
        <w:t xml:space="preserve">As you are aware, Exodus 40 describes the erection and initiation of the Tabernacle in the Wilderness.  Leviticus 1-7 then describes the laws regarding sacrifices and offerings in the sanctuary service, and Leviticus 8-9 describe the consecration of Aaron and his sons to the priesthood.  These chapters seem naturally to follow the conclusion of Exodus.  Since we have already encountered some of the laws regarding sacrifices, and we have already seen a description of the consecration of Aaron and his sons, it seems logical to move on to Leviticus 10.  The first significant </w:t>
      </w:r>
      <w:r>
        <w:rPr>
          <w:sz w:val="28"/>
        </w:rPr>
        <w:t xml:space="preserve">recorded </w:t>
      </w:r>
      <w:r w:rsidR="00436A3F" w:rsidRPr="009C3A2A">
        <w:rPr>
          <w:sz w:val="28"/>
        </w:rPr>
        <w:t xml:space="preserve">events following the erection and dedication of the tabernacle, and the consecration of the priesthood, occur here.  </w:t>
      </w:r>
    </w:p>
    <w:p w:rsidR="00436A3F" w:rsidRPr="009C3A2A" w:rsidRDefault="009F6C04" w:rsidP="00F72695">
      <w:pPr>
        <w:spacing w:line="276" w:lineRule="auto"/>
        <w:jc w:val="center"/>
        <w:rPr>
          <w:b/>
          <w:sz w:val="28"/>
        </w:rPr>
      </w:pPr>
      <w:r w:rsidRPr="009C3A2A">
        <w:rPr>
          <w:b/>
          <w:sz w:val="28"/>
        </w:rPr>
        <w:t>Setting the Scene:</w:t>
      </w:r>
    </w:p>
    <w:p w:rsidR="009F6C04" w:rsidRPr="009C3A2A" w:rsidRDefault="009F6C04" w:rsidP="009C3A2A">
      <w:pPr>
        <w:spacing w:line="276" w:lineRule="auto"/>
        <w:rPr>
          <w:sz w:val="28"/>
        </w:rPr>
      </w:pPr>
      <w:proofErr w:type="spellStart"/>
      <w:r w:rsidRPr="009C3A2A">
        <w:rPr>
          <w:sz w:val="28"/>
        </w:rPr>
        <w:t>Nadab</w:t>
      </w:r>
      <w:proofErr w:type="spellEnd"/>
      <w:r w:rsidRPr="009C3A2A">
        <w:rPr>
          <w:sz w:val="28"/>
        </w:rPr>
        <w:t xml:space="preserve"> and </w:t>
      </w:r>
      <w:proofErr w:type="spellStart"/>
      <w:r w:rsidRPr="009C3A2A">
        <w:rPr>
          <w:sz w:val="28"/>
        </w:rPr>
        <w:t>Abihu</w:t>
      </w:r>
      <w:proofErr w:type="spellEnd"/>
      <w:r w:rsidRPr="009C3A2A">
        <w:rPr>
          <w:sz w:val="28"/>
        </w:rPr>
        <w:t>, two of Aaron’s sons, enjoyed the highest positions in Israel after Moses and Aaron.  They had many advantages and privileges.  Shortly</w:t>
      </w:r>
      <w:r w:rsidR="009C3A2A" w:rsidRPr="009C3A2A">
        <w:rPr>
          <w:sz w:val="28"/>
        </w:rPr>
        <w:t xml:space="preserve"> before the events noted in Leviticus 10</w:t>
      </w:r>
      <w:r w:rsidRPr="009C3A2A">
        <w:rPr>
          <w:sz w:val="28"/>
        </w:rPr>
        <w:t xml:space="preserve">, they had spent a week in study and prayer, preparing for the day when they should begin their sanctuary service.  </w:t>
      </w:r>
      <w:r w:rsidR="009C3A2A" w:rsidRPr="009C3A2A">
        <w:rPr>
          <w:sz w:val="28"/>
        </w:rPr>
        <w:t xml:space="preserve">They had assisted their father as he offered sacrifices.  They had witnessed the solemn service of dedication, and had themselves been sprinkled with sacrificial blood.  They had been thoroughly indoctrinated, and were fully acquainted with the sacredness of God’s work.  </w:t>
      </w:r>
    </w:p>
    <w:p w:rsidR="009C3A2A" w:rsidRPr="009C3A2A" w:rsidRDefault="009C3A2A" w:rsidP="009C3A2A">
      <w:pPr>
        <w:spacing w:line="276" w:lineRule="auto"/>
        <w:rPr>
          <w:b/>
          <w:sz w:val="28"/>
        </w:rPr>
      </w:pPr>
      <w:r w:rsidRPr="009C3A2A">
        <w:rPr>
          <w:b/>
          <w:sz w:val="28"/>
        </w:rPr>
        <w:t>What does it mean to offer “strange fire?”</w:t>
      </w:r>
      <w:r w:rsidR="00417280">
        <w:rPr>
          <w:b/>
          <w:sz w:val="28"/>
        </w:rPr>
        <w:t xml:space="preserve">  What fire would have been appropriate?  </w:t>
      </w:r>
    </w:p>
    <w:p w:rsidR="00417280" w:rsidRDefault="000054B2" w:rsidP="009C3A2A">
      <w:pPr>
        <w:spacing w:line="276" w:lineRule="auto"/>
        <w:rPr>
          <w:sz w:val="28"/>
        </w:rPr>
      </w:pPr>
      <w:r>
        <w:rPr>
          <w:sz w:val="28"/>
        </w:rPr>
        <w:t xml:space="preserve">The procedures for the altar of incense are clear from Leviticus 16:12-13.  The priest was to take a censer full of burning coals from the altar of burnt offering, bring it into the Holy Place and place it on the altar of incense, then place the incense “beaten small” on top.  From Leviticus 9:24 we know that the fire on the altar of burnt offering was special, having been </w:t>
      </w:r>
      <w:r>
        <w:rPr>
          <w:sz w:val="28"/>
        </w:rPr>
        <w:lastRenderedPageBreak/>
        <w:t xml:space="preserve">ignited by God.  </w:t>
      </w:r>
      <w:proofErr w:type="spellStart"/>
      <w:r>
        <w:rPr>
          <w:sz w:val="28"/>
        </w:rPr>
        <w:t>Nadab</w:t>
      </w:r>
      <w:proofErr w:type="spellEnd"/>
      <w:r>
        <w:rPr>
          <w:sz w:val="28"/>
        </w:rPr>
        <w:t xml:space="preserve"> and </w:t>
      </w:r>
      <w:proofErr w:type="spellStart"/>
      <w:r>
        <w:rPr>
          <w:sz w:val="28"/>
        </w:rPr>
        <w:t>Abihu</w:t>
      </w:r>
      <w:proofErr w:type="spellEnd"/>
      <w:r>
        <w:rPr>
          <w:sz w:val="28"/>
        </w:rPr>
        <w:t xml:space="preserve"> offered ordinary fire instead of </w:t>
      </w:r>
      <w:r w:rsidR="00D03FD9">
        <w:rPr>
          <w:sz w:val="28"/>
        </w:rPr>
        <w:t xml:space="preserve">taking fire from the altar of burnt offering, as they should have.  </w:t>
      </w:r>
      <w:bookmarkStart w:id="0" w:name="_GoBack"/>
      <w:bookmarkEnd w:id="0"/>
      <w:r>
        <w:rPr>
          <w:sz w:val="28"/>
        </w:rPr>
        <w:t xml:space="preserve">    </w:t>
      </w:r>
    </w:p>
    <w:p w:rsidR="00417280" w:rsidRPr="009C3A2A" w:rsidRDefault="00417280" w:rsidP="00417280">
      <w:pPr>
        <w:spacing w:line="276" w:lineRule="auto"/>
        <w:rPr>
          <w:b/>
          <w:sz w:val="28"/>
        </w:rPr>
      </w:pPr>
      <w:r>
        <w:rPr>
          <w:b/>
          <w:sz w:val="28"/>
        </w:rPr>
        <w:t xml:space="preserve">In Leviticus 10:6-7, Moses appears exceedingly unsympathetic to Aaron and his remaining sons.  Why does he say these things?  </w:t>
      </w:r>
    </w:p>
    <w:p w:rsidR="00417280" w:rsidRDefault="001B2FDD" w:rsidP="009C3A2A">
      <w:pPr>
        <w:spacing w:line="276" w:lineRule="auto"/>
        <w:rPr>
          <w:sz w:val="28"/>
        </w:rPr>
      </w:pPr>
      <w:r>
        <w:rPr>
          <w:sz w:val="28"/>
        </w:rPr>
        <w:t xml:space="preserve">Aaron and his remaining sons were not supposed to reveal their grief at the death of </w:t>
      </w:r>
      <w:proofErr w:type="spellStart"/>
      <w:r>
        <w:rPr>
          <w:sz w:val="28"/>
        </w:rPr>
        <w:t>Nada</w:t>
      </w:r>
      <w:r w:rsidR="000506BE">
        <w:rPr>
          <w:sz w:val="28"/>
        </w:rPr>
        <w:t>b</w:t>
      </w:r>
      <w:proofErr w:type="spellEnd"/>
      <w:r w:rsidR="000506BE">
        <w:rPr>
          <w:sz w:val="28"/>
        </w:rPr>
        <w:t xml:space="preserve"> and </w:t>
      </w:r>
      <w:proofErr w:type="spellStart"/>
      <w:r w:rsidR="000506BE">
        <w:rPr>
          <w:sz w:val="28"/>
        </w:rPr>
        <w:t>Abihu</w:t>
      </w:r>
      <w:proofErr w:type="spellEnd"/>
      <w:r w:rsidR="000506BE">
        <w:rPr>
          <w:sz w:val="28"/>
        </w:rPr>
        <w:t xml:space="preserve">.  This was an extremely public situation.  At the time of the evening sacrifice, the people were gathered expectantly, and then two priests (out of five) were killed by fire from God even as they served within the tabernacle.  The people were no doubt baffled and terrified.  A display of grief by the three remaining priests would almost certainly incite panic.  It would also appear to show displeasure at God’s judgement.  It would probably also tend to suggest that the things of God were less important than family connections.  Instead, as the people saw Aaron, </w:t>
      </w:r>
      <w:proofErr w:type="spellStart"/>
      <w:r w:rsidR="000506BE">
        <w:rPr>
          <w:sz w:val="28"/>
        </w:rPr>
        <w:t>Eleazar</w:t>
      </w:r>
      <w:proofErr w:type="spellEnd"/>
      <w:r w:rsidR="000506BE">
        <w:rPr>
          <w:sz w:val="28"/>
        </w:rPr>
        <w:t xml:space="preserve">, and </w:t>
      </w:r>
      <w:proofErr w:type="spellStart"/>
      <w:r w:rsidR="000506BE">
        <w:rPr>
          <w:sz w:val="28"/>
        </w:rPr>
        <w:t>Ithamar</w:t>
      </w:r>
      <w:proofErr w:type="spellEnd"/>
      <w:r w:rsidR="000506BE">
        <w:rPr>
          <w:sz w:val="28"/>
        </w:rPr>
        <w:t xml:space="preserve"> go calmly about the service, they knew that God was still in control.  Nothing must interfere with the work of God.  </w:t>
      </w:r>
    </w:p>
    <w:p w:rsidR="009C3A2A" w:rsidRPr="009C3A2A" w:rsidRDefault="009C3A2A" w:rsidP="009C3A2A">
      <w:pPr>
        <w:spacing w:line="276" w:lineRule="auto"/>
        <w:rPr>
          <w:b/>
          <w:sz w:val="28"/>
        </w:rPr>
      </w:pPr>
      <w:r>
        <w:rPr>
          <w:b/>
          <w:sz w:val="28"/>
        </w:rPr>
        <w:t>Consider Leviticus 10:8-11</w:t>
      </w:r>
      <w:r w:rsidR="00417280">
        <w:rPr>
          <w:b/>
          <w:sz w:val="28"/>
        </w:rPr>
        <w:t xml:space="preserve">.  Why this command at this time?  </w:t>
      </w:r>
    </w:p>
    <w:p w:rsidR="009C3A2A" w:rsidRDefault="000506BE" w:rsidP="009C3A2A">
      <w:pPr>
        <w:spacing w:line="276" w:lineRule="auto"/>
        <w:rPr>
          <w:sz w:val="28"/>
        </w:rPr>
      </w:pPr>
      <w:r>
        <w:rPr>
          <w:sz w:val="28"/>
        </w:rPr>
        <w:t xml:space="preserve">This statement suggests the cause of the transgression.  It doesn’t seem reasonable to believe that God would issue such an edict at this time and under these circumstances except to clarify the true cause of the situation.  Doing God’s work requires a clear head, not a mind contaminated with strong drink.  This applies particularly to leaders, because they are an example to the people.    </w:t>
      </w:r>
    </w:p>
    <w:p w:rsidR="00417280" w:rsidRPr="009C3A2A" w:rsidRDefault="00417280" w:rsidP="00417280">
      <w:pPr>
        <w:spacing w:line="276" w:lineRule="auto"/>
        <w:rPr>
          <w:b/>
          <w:sz w:val="28"/>
        </w:rPr>
      </w:pPr>
      <w:r>
        <w:rPr>
          <w:b/>
          <w:sz w:val="28"/>
        </w:rPr>
        <w:t xml:space="preserve">Consider Leviticus 10:12-15.  Why are these commands issued?    What is the symbolism here?  </w:t>
      </w:r>
    </w:p>
    <w:p w:rsidR="00417280" w:rsidRDefault="00031D31" w:rsidP="00417280">
      <w:pPr>
        <w:spacing w:line="276" w:lineRule="auto"/>
        <w:rPr>
          <w:sz w:val="28"/>
        </w:rPr>
      </w:pPr>
      <w:r>
        <w:rPr>
          <w:sz w:val="28"/>
        </w:rPr>
        <w:t xml:space="preserve">When a goat was used as a sin offering, the blood was not carried into the sanctuary but placed on the horns of the altar of burnt offering.  According to the law, the flesh in such cases should be eaten by the priests.  That day a goat had been offered as a sin offering, and since the blood was not carried into the sanctuary the flesh should have been eaten.  This symbolically transferred the sins to the priests, so that they could make atonement for the sins that they figuratively bore.  </w:t>
      </w:r>
    </w:p>
    <w:p w:rsidR="00417280" w:rsidRPr="009C3A2A" w:rsidRDefault="00417280" w:rsidP="00417280">
      <w:pPr>
        <w:spacing w:line="276" w:lineRule="auto"/>
        <w:rPr>
          <w:b/>
          <w:sz w:val="28"/>
        </w:rPr>
      </w:pPr>
      <w:r>
        <w:rPr>
          <w:b/>
          <w:sz w:val="28"/>
        </w:rPr>
        <w:t xml:space="preserve">Consider Leviticus 10:16-18.  What is the problem?  Why is Moses angry?  </w:t>
      </w:r>
    </w:p>
    <w:p w:rsidR="00417280" w:rsidRDefault="00031D31" w:rsidP="00417280">
      <w:pPr>
        <w:spacing w:line="276" w:lineRule="auto"/>
        <w:rPr>
          <w:sz w:val="28"/>
        </w:rPr>
      </w:pPr>
      <w:r>
        <w:rPr>
          <w:sz w:val="28"/>
        </w:rPr>
        <w:t xml:space="preserve">In the confusion following the death of </w:t>
      </w:r>
      <w:proofErr w:type="spellStart"/>
      <w:r>
        <w:rPr>
          <w:sz w:val="28"/>
        </w:rPr>
        <w:t>Nadab</w:t>
      </w:r>
      <w:proofErr w:type="spellEnd"/>
      <w:r>
        <w:rPr>
          <w:sz w:val="28"/>
        </w:rPr>
        <w:t xml:space="preserve"> and </w:t>
      </w:r>
      <w:proofErr w:type="spellStart"/>
      <w:r>
        <w:rPr>
          <w:sz w:val="28"/>
        </w:rPr>
        <w:t>Abihu</w:t>
      </w:r>
      <w:proofErr w:type="spellEnd"/>
      <w:r>
        <w:rPr>
          <w:sz w:val="28"/>
        </w:rPr>
        <w:t xml:space="preserve">, Aaron had omitted eating the portion of the meat offering that was his due.  </w:t>
      </w:r>
      <w:r>
        <w:rPr>
          <w:sz w:val="28"/>
        </w:rPr>
        <w:t xml:space="preserve">In failing to eat the flesh, Aaron also failed to bear the sins of the people.  He could not make atonement for sins he did not bear.  This was what made the mistake so serious.  The sins that the goat symbolically bore had not been </w:t>
      </w:r>
      <w:r>
        <w:rPr>
          <w:sz w:val="28"/>
        </w:rPr>
        <w:lastRenderedPageBreak/>
        <w:t xml:space="preserve">transferred to the priests.  All the goat could do was die.  But the work of intercession remained to be done.  </w:t>
      </w:r>
      <w:r w:rsidR="00410663">
        <w:rPr>
          <w:sz w:val="28"/>
        </w:rPr>
        <w:t xml:space="preserve">Moses was still in charge, making sure that all was done as God commanded.  He was angry about the failure to eat the flesh, because the symbolism of the service had been effectively marred.  </w:t>
      </w:r>
      <w:r>
        <w:rPr>
          <w:sz w:val="28"/>
        </w:rPr>
        <w:t xml:space="preserve">  </w:t>
      </w:r>
    </w:p>
    <w:p w:rsidR="00417280" w:rsidRPr="009C3A2A" w:rsidRDefault="00417280" w:rsidP="00417280">
      <w:pPr>
        <w:spacing w:line="276" w:lineRule="auto"/>
        <w:rPr>
          <w:b/>
          <w:sz w:val="28"/>
        </w:rPr>
      </w:pPr>
      <w:r>
        <w:rPr>
          <w:b/>
          <w:sz w:val="28"/>
        </w:rPr>
        <w:t xml:space="preserve">How is the problem resolved?  Why?  </w:t>
      </w:r>
    </w:p>
    <w:p w:rsidR="00417280" w:rsidRPr="009C3A2A" w:rsidRDefault="00417280">
      <w:pPr>
        <w:spacing w:line="276" w:lineRule="auto"/>
        <w:rPr>
          <w:sz w:val="28"/>
        </w:rPr>
      </w:pPr>
      <w:r>
        <w:rPr>
          <w:noProof/>
          <w:sz w:val="28"/>
        </w:rPr>
        <mc:AlternateContent>
          <mc:Choice Requires="wps">
            <w:drawing>
              <wp:anchor distT="0" distB="0" distL="114300" distR="114300" simplePos="0" relativeHeight="251659264" behindDoc="1" locked="0" layoutInCell="1" allowOverlap="1">
                <wp:simplePos x="0" y="0"/>
                <wp:positionH relativeFrom="column">
                  <wp:posOffset>-87630</wp:posOffset>
                </wp:positionH>
                <wp:positionV relativeFrom="paragraph">
                  <wp:posOffset>2440940</wp:posOffset>
                </wp:positionV>
                <wp:extent cx="7059295" cy="3813175"/>
                <wp:effectExtent l="19050" t="19050" r="27305" b="15875"/>
                <wp:wrapTight wrapText="bothSides">
                  <wp:wrapPolygon edited="0">
                    <wp:start x="-58" y="-108"/>
                    <wp:lineTo x="-58" y="21582"/>
                    <wp:lineTo x="21625" y="21582"/>
                    <wp:lineTo x="21625" y="-108"/>
                    <wp:lineTo x="-58" y="-108"/>
                  </wp:wrapPolygon>
                </wp:wrapTight>
                <wp:docPr id="1" name="Text Box 1"/>
                <wp:cNvGraphicFramePr/>
                <a:graphic xmlns:a="http://schemas.openxmlformats.org/drawingml/2006/main">
                  <a:graphicData uri="http://schemas.microsoft.com/office/word/2010/wordprocessingShape">
                    <wps:wsp>
                      <wps:cNvSpPr txBox="1"/>
                      <wps:spPr>
                        <a:xfrm>
                          <a:off x="0" y="0"/>
                          <a:ext cx="7059295" cy="3813175"/>
                        </a:xfrm>
                        <a:prstGeom prst="rect">
                          <a:avLst/>
                        </a:prstGeom>
                        <a:solidFill>
                          <a:schemeClr val="lt1"/>
                        </a:solidFill>
                        <a:ln w="28575">
                          <a:solidFill>
                            <a:schemeClr val="accent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417280" w:rsidRPr="00417280" w:rsidRDefault="00417280" w:rsidP="00417280">
                            <w:pPr>
                              <w:spacing w:line="276" w:lineRule="auto"/>
                              <w:rPr>
                                <w:b/>
                                <w:color w:val="2E74B5" w:themeColor="accent1" w:themeShade="BF"/>
                                <w:sz w:val="28"/>
                              </w:rPr>
                            </w:pPr>
                            <w:r w:rsidRPr="00417280">
                              <w:rPr>
                                <w:b/>
                                <w:color w:val="2E74B5" w:themeColor="accent1" w:themeShade="BF"/>
                                <w:sz w:val="28"/>
                              </w:rPr>
                              <w:t xml:space="preserve">Notes and Observations:  </w:t>
                            </w:r>
                          </w:p>
                          <w:p w:rsidR="00417280" w:rsidRDefault="00410663" w:rsidP="00410663">
                            <w:pPr>
                              <w:pStyle w:val="ListParagraph"/>
                              <w:numPr>
                                <w:ilvl w:val="0"/>
                                <w:numId w:val="1"/>
                              </w:numPr>
                              <w:rPr>
                                <w:color w:val="2E74B5" w:themeColor="accent1" w:themeShade="BF"/>
                                <w:sz w:val="28"/>
                              </w:rPr>
                            </w:pPr>
                            <w:r>
                              <w:rPr>
                                <w:color w:val="2E74B5" w:themeColor="accent1" w:themeShade="BF"/>
                                <w:sz w:val="28"/>
                              </w:rPr>
                              <w:t xml:space="preserve">According to Jewish tradition, the sacred fire that came from God to the altar of burnt offering on the first occasion in Leviticus 9:24 was preserved at least until the destruction of Solomon’s Temple, perhaps longer.  This same fire was kept burning, and it was this fire and no other that was to be used in the Tabernacle services.  </w:t>
                            </w:r>
                          </w:p>
                          <w:p w:rsidR="00410663" w:rsidRDefault="00410663" w:rsidP="00410663">
                            <w:pPr>
                              <w:pStyle w:val="ListParagraph"/>
                              <w:numPr>
                                <w:ilvl w:val="0"/>
                                <w:numId w:val="1"/>
                              </w:numPr>
                              <w:rPr>
                                <w:color w:val="2E74B5" w:themeColor="accent1" w:themeShade="BF"/>
                                <w:sz w:val="28"/>
                              </w:rPr>
                            </w:pPr>
                            <w:r>
                              <w:rPr>
                                <w:color w:val="2E74B5" w:themeColor="accent1" w:themeShade="BF"/>
                                <w:sz w:val="28"/>
                              </w:rPr>
                              <w:t xml:space="preserve">To the human mind, one fire is very much like another!  Certainly anyone looking on would be unable to distinguish coals from the altar of burnt offering from any other set of coals.  But God sees things that we cannot see.  He looks into the heart.  That’s why we have to trust Him when He sets a difference that we cannot see.  </w:t>
                            </w:r>
                          </w:p>
                          <w:p w:rsidR="00A823D6" w:rsidRDefault="00A823D6" w:rsidP="00A823D6">
                            <w:pPr>
                              <w:pStyle w:val="ListParagraph"/>
                              <w:numPr>
                                <w:ilvl w:val="0"/>
                                <w:numId w:val="1"/>
                              </w:numPr>
                              <w:rPr>
                                <w:color w:val="2E74B5" w:themeColor="accent1" w:themeShade="BF"/>
                                <w:sz w:val="28"/>
                              </w:rPr>
                            </w:pPr>
                            <w:r>
                              <w:rPr>
                                <w:color w:val="2E74B5" w:themeColor="accent1" w:themeShade="BF"/>
                                <w:sz w:val="28"/>
                              </w:rPr>
                              <w:t xml:space="preserve">The particular offering on the day of </w:t>
                            </w:r>
                            <w:proofErr w:type="spellStart"/>
                            <w:r>
                              <w:rPr>
                                <w:color w:val="2E74B5" w:themeColor="accent1" w:themeShade="BF"/>
                                <w:sz w:val="28"/>
                              </w:rPr>
                              <w:t>Nadab’s</w:t>
                            </w:r>
                            <w:proofErr w:type="spellEnd"/>
                            <w:r>
                              <w:rPr>
                                <w:color w:val="2E74B5" w:themeColor="accent1" w:themeShade="BF"/>
                                <w:sz w:val="28"/>
                              </w:rPr>
                              <w:t xml:space="preserve"> and </w:t>
                            </w:r>
                            <w:proofErr w:type="spellStart"/>
                            <w:r>
                              <w:rPr>
                                <w:color w:val="2E74B5" w:themeColor="accent1" w:themeShade="BF"/>
                                <w:sz w:val="28"/>
                              </w:rPr>
                              <w:t>Abihu’s</w:t>
                            </w:r>
                            <w:proofErr w:type="spellEnd"/>
                            <w:r>
                              <w:rPr>
                                <w:color w:val="2E74B5" w:themeColor="accent1" w:themeShade="BF"/>
                                <w:sz w:val="28"/>
                              </w:rPr>
                              <w:t xml:space="preserve"> death evidently included a peace offering, as Aaron’s daughters were to have a share.  </w:t>
                            </w:r>
                          </w:p>
                          <w:p w:rsidR="00A823D6" w:rsidRPr="00A823D6" w:rsidRDefault="00A823D6" w:rsidP="00A823D6">
                            <w:pPr>
                              <w:pStyle w:val="ListParagraph"/>
                              <w:numPr>
                                <w:ilvl w:val="0"/>
                                <w:numId w:val="1"/>
                              </w:numPr>
                              <w:rPr>
                                <w:color w:val="2E74B5" w:themeColor="accent1" w:themeShade="BF"/>
                                <w:sz w:val="28"/>
                              </w:rPr>
                            </w:pPr>
                            <w:r>
                              <w:rPr>
                                <w:color w:val="2E74B5" w:themeColor="accent1" w:themeShade="BF"/>
                                <w:sz w:val="28"/>
                              </w:rPr>
                              <w:t xml:space="preserve">Anger isn’t always a bad thing.  Moses was noted for his meekness, but that did not prevent righteous indignation.  And there are times when righteous indignation may be appropriately displayed.  But this anger is due to zeal for God and His cause, not to personal pride or vindictiveness.  </w:t>
                            </w:r>
                          </w:p>
                          <w:p w:rsidR="00410663" w:rsidRDefault="004106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6.9pt;margin-top:192.2pt;width:555.85pt;height:300.2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DSgpQIAAOMFAAAOAAAAZHJzL2Uyb0RvYy54bWysVN9P2zAQfp+0/8Hy+0ha6AoVKepATJMY&#10;oMHEs+vYNJrt82y3Sfnrd7aTUtikiWkvydn3+bvfd3rWaUU2wvkGTEVHByUlwnCoG/NY0e/3lx+O&#10;KfGBmZopMKKiW+Hp2fz9u9PWzsQYVqBq4QiSGD9rbUVXIdhZUXi+Epr5A7DCoFKC0yzg0T0WtWMt&#10;smtVjMvyY9GCq60DLrzH24uspPPEL6Xg4UZKLwJRFUXfQvq69F3GbzE/ZbNHx+yq4b0b7B+80Kwx&#10;aHRHdcECI2vX/EalG+7AgwwHHHQBUjZcpBgwmlH5Kpq7FbMixYLJ8XaXJv//aPn15taRpsbaUWKY&#10;xhLdiy6QT9CRUcxOa/0MQXcWYaHD64js7z1exqA76XT8YzgE9Zjn7S63kYzj5bScnIxPJpRw1B0e&#10;jw5H00nkKZ6fW+fDZwGaRKGiDouXcso2Vz5k6ACJ1jyopr5slEqH2DDiXDmyYVhqFZKTSP4CpQxp&#10;Kzo+nqDtv1EwzoVBmohTa/0V6kw9nZRl6ptIPlhNceyZQp0y8aVIPdj7H3OZc5aksFUisZtvQmIN&#10;UuqSWwNttjh4klOgIjqiJIb+loc9/tmrtzzOcQyWwYTdY90YcDmbL92ufww1kBmPSdqLO4qhW3Z9&#10;8/UttYR6i53mIE+qt/yywW64Yj7cMoejic2F6ybc4EcqwGpCL1GyAvf0p/uIx4lBLSUtjnpF/c81&#10;c4IS9cXgLJ2Mjo7ibkiHo8l0jAe3r1nua8xanwO2GM4LepfEiA9qEKUD/YBbaRGtoooZjrYrGgbx&#10;POQFhFuNi8UigXAbWBauzJ3lkToWKfb6fffAnO0HIuAsXcOwFNjs1VxkbHxpYLEOIJs0NDHPOat9&#10;/nGTpHbtt15cVfvnhHrezfNfAAAA//8DAFBLAwQUAAYACAAAACEAt/UTqOEAAAAMAQAADwAAAGRy&#10;cy9kb3ducmV2LnhtbEyPzU7DMBCE70i8g7VIXKrWKYkgCdlUqKjixIGkD+DESxzhnyh22/TtcU9w&#10;HM1o5ptqtxjNzjT70VmE7SYBRrZ3crQDwrE9rHNgPggrhXaWEK7kYVff31WilO5iv+jchIHFEutL&#10;gaBCmErOfa/ICL9xE9nofbvZiBDlPHA5i0ssN5o/JckzN2K0cUGJifaK+p/mZBBWKkuPs74ehqbX&#10;n++rffuhuhbx8WF5ewUWaAl/YbjhR3SoI1PnTlZ6phHW2zSiB4Q0zzJgt0RSvBTAOoQizwrgdcX/&#10;n6h/AQAA//8DAFBLAQItABQABgAIAAAAIQC2gziS/gAAAOEBAAATAAAAAAAAAAAAAAAAAAAAAABb&#10;Q29udGVudF9UeXBlc10ueG1sUEsBAi0AFAAGAAgAAAAhADj9If/WAAAAlAEAAAsAAAAAAAAAAAAA&#10;AAAALwEAAF9yZWxzLy5yZWxzUEsBAi0AFAAGAAgAAAAhADEANKClAgAA4wUAAA4AAAAAAAAAAAAA&#10;AAAALgIAAGRycy9lMm9Eb2MueG1sUEsBAi0AFAAGAAgAAAAhALf1E6jhAAAADAEAAA8AAAAAAAAA&#10;AAAAAAAA/wQAAGRycy9kb3ducmV2LnhtbFBLBQYAAAAABAAEAPMAAAANBgAAAAA=&#10;" fillcolor="white [3201]" strokecolor="#2e74b5 [2404]" strokeweight="2.25pt">
                <v:textbox>
                  <w:txbxContent>
                    <w:p w:rsidR="00417280" w:rsidRPr="00417280" w:rsidRDefault="00417280" w:rsidP="00417280">
                      <w:pPr>
                        <w:spacing w:line="276" w:lineRule="auto"/>
                        <w:rPr>
                          <w:b/>
                          <w:color w:val="2E74B5" w:themeColor="accent1" w:themeShade="BF"/>
                          <w:sz w:val="28"/>
                        </w:rPr>
                      </w:pPr>
                      <w:r w:rsidRPr="00417280">
                        <w:rPr>
                          <w:b/>
                          <w:color w:val="2E74B5" w:themeColor="accent1" w:themeShade="BF"/>
                          <w:sz w:val="28"/>
                        </w:rPr>
                        <w:t xml:space="preserve">Notes and Observations:  </w:t>
                      </w:r>
                    </w:p>
                    <w:p w:rsidR="00417280" w:rsidRDefault="00410663" w:rsidP="00410663">
                      <w:pPr>
                        <w:pStyle w:val="ListParagraph"/>
                        <w:numPr>
                          <w:ilvl w:val="0"/>
                          <w:numId w:val="1"/>
                        </w:numPr>
                        <w:rPr>
                          <w:color w:val="2E74B5" w:themeColor="accent1" w:themeShade="BF"/>
                          <w:sz w:val="28"/>
                        </w:rPr>
                      </w:pPr>
                      <w:r>
                        <w:rPr>
                          <w:color w:val="2E74B5" w:themeColor="accent1" w:themeShade="BF"/>
                          <w:sz w:val="28"/>
                        </w:rPr>
                        <w:t xml:space="preserve">According to Jewish tradition, the sacred fire that came from God to the altar of burnt offering on the first occasion in Leviticus 9:24 was preserved at least until the destruction of Solomon’s Temple, perhaps longer.  This same fire was kept burning, and it was this fire and no other that was to be used in the Tabernacle services.  </w:t>
                      </w:r>
                    </w:p>
                    <w:p w:rsidR="00410663" w:rsidRDefault="00410663" w:rsidP="00410663">
                      <w:pPr>
                        <w:pStyle w:val="ListParagraph"/>
                        <w:numPr>
                          <w:ilvl w:val="0"/>
                          <w:numId w:val="1"/>
                        </w:numPr>
                        <w:rPr>
                          <w:color w:val="2E74B5" w:themeColor="accent1" w:themeShade="BF"/>
                          <w:sz w:val="28"/>
                        </w:rPr>
                      </w:pPr>
                      <w:r>
                        <w:rPr>
                          <w:color w:val="2E74B5" w:themeColor="accent1" w:themeShade="BF"/>
                          <w:sz w:val="28"/>
                        </w:rPr>
                        <w:t xml:space="preserve">To the human mind, one fire is very much like another!  Certainly anyone looking on would be unable to distinguish coals from the altar of burnt offering from any other set of coals.  But God sees things that we cannot see.  He looks into the heart.  That’s why we have to trust Him when He sets a difference that we cannot see.  </w:t>
                      </w:r>
                    </w:p>
                    <w:p w:rsidR="00A823D6" w:rsidRDefault="00A823D6" w:rsidP="00A823D6">
                      <w:pPr>
                        <w:pStyle w:val="ListParagraph"/>
                        <w:numPr>
                          <w:ilvl w:val="0"/>
                          <w:numId w:val="1"/>
                        </w:numPr>
                        <w:rPr>
                          <w:color w:val="2E74B5" w:themeColor="accent1" w:themeShade="BF"/>
                          <w:sz w:val="28"/>
                        </w:rPr>
                      </w:pPr>
                      <w:r>
                        <w:rPr>
                          <w:color w:val="2E74B5" w:themeColor="accent1" w:themeShade="BF"/>
                          <w:sz w:val="28"/>
                        </w:rPr>
                        <w:t xml:space="preserve">The particular offering on the day of </w:t>
                      </w:r>
                      <w:proofErr w:type="spellStart"/>
                      <w:r>
                        <w:rPr>
                          <w:color w:val="2E74B5" w:themeColor="accent1" w:themeShade="BF"/>
                          <w:sz w:val="28"/>
                        </w:rPr>
                        <w:t>Nadab’s</w:t>
                      </w:r>
                      <w:proofErr w:type="spellEnd"/>
                      <w:r>
                        <w:rPr>
                          <w:color w:val="2E74B5" w:themeColor="accent1" w:themeShade="BF"/>
                          <w:sz w:val="28"/>
                        </w:rPr>
                        <w:t xml:space="preserve"> and </w:t>
                      </w:r>
                      <w:proofErr w:type="spellStart"/>
                      <w:r>
                        <w:rPr>
                          <w:color w:val="2E74B5" w:themeColor="accent1" w:themeShade="BF"/>
                          <w:sz w:val="28"/>
                        </w:rPr>
                        <w:t>Abihu’s</w:t>
                      </w:r>
                      <w:proofErr w:type="spellEnd"/>
                      <w:r>
                        <w:rPr>
                          <w:color w:val="2E74B5" w:themeColor="accent1" w:themeShade="BF"/>
                          <w:sz w:val="28"/>
                        </w:rPr>
                        <w:t xml:space="preserve"> death evidently included a peace offering, as Aaron’s daughters were to have a share.  </w:t>
                      </w:r>
                    </w:p>
                    <w:p w:rsidR="00A823D6" w:rsidRPr="00A823D6" w:rsidRDefault="00A823D6" w:rsidP="00A823D6">
                      <w:pPr>
                        <w:pStyle w:val="ListParagraph"/>
                        <w:numPr>
                          <w:ilvl w:val="0"/>
                          <w:numId w:val="1"/>
                        </w:numPr>
                        <w:rPr>
                          <w:color w:val="2E74B5" w:themeColor="accent1" w:themeShade="BF"/>
                          <w:sz w:val="28"/>
                        </w:rPr>
                      </w:pPr>
                      <w:r>
                        <w:rPr>
                          <w:color w:val="2E74B5" w:themeColor="accent1" w:themeShade="BF"/>
                          <w:sz w:val="28"/>
                        </w:rPr>
                        <w:t xml:space="preserve">Anger isn’t always a bad thing.  Moses was noted for his meekness, but that did not prevent righteous indignation.  And there are times when righteous indignation may be appropriately displayed.  But this anger is due to zeal for God and His cause, not to personal pride or vindictiveness.  </w:t>
                      </w:r>
                    </w:p>
                    <w:p w:rsidR="00410663" w:rsidRDefault="00410663"/>
                  </w:txbxContent>
                </v:textbox>
                <w10:wrap type="tight"/>
              </v:shape>
            </w:pict>
          </mc:Fallback>
        </mc:AlternateContent>
      </w:r>
      <w:r w:rsidR="00410663">
        <w:rPr>
          <w:sz w:val="28"/>
        </w:rPr>
        <w:t xml:space="preserve">Aaron knew that eating the sin offering represented taking the sins of the </w:t>
      </w:r>
      <w:proofErr w:type="spellStart"/>
      <w:r w:rsidR="00410663">
        <w:rPr>
          <w:sz w:val="28"/>
        </w:rPr>
        <w:t>offerer</w:t>
      </w:r>
      <w:proofErr w:type="spellEnd"/>
      <w:r w:rsidR="00410663">
        <w:rPr>
          <w:sz w:val="28"/>
        </w:rPr>
        <w:t xml:space="preserve"> upon himself, as Moses had said.  But with what had happened, and his own responsibility, in part, for it, he did not feel that he could bear the sins of others.  He had all he could do to bear his own.  He certainly felt grieved at the death of his sons, and probably felt a measure of resentment that he could not publicly grieve, as private individuals might have done.  He apparently felt that in his present state of mind his service as a typical sin bearer would be quite unacceptable to God.  Moses saw that Aaron had not been negligent nor had he deliberately omitted a known duty without due reason.  He accepted Aaron’s explanation, and adjusted his own attitude accordingly.  </w:t>
      </w:r>
    </w:p>
    <w:sectPr w:rsidR="00417280" w:rsidRPr="009C3A2A" w:rsidSect="00417280">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1C4" w:rsidRDefault="003711C4" w:rsidP="003711C4">
      <w:pPr>
        <w:spacing w:after="0" w:line="240" w:lineRule="auto"/>
      </w:pPr>
      <w:r>
        <w:separator/>
      </w:r>
    </w:p>
  </w:endnote>
  <w:endnote w:type="continuationSeparator" w:id="0">
    <w:p w:rsidR="003711C4" w:rsidRDefault="003711C4" w:rsidP="00371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1C4" w:rsidRDefault="003711C4" w:rsidP="003711C4">
      <w:pPr>
        <w:spacing w:after="0" w:line="240" w:lineRule="auto"/>
      </w:pPr>
      <w:r>
        <w:separator/>
      </w:r>
    </w:p>
  </w:footnote>
  <w:footnote w:type="continuationSeparator" w:id="0">
    <w:p w:rsidR="003711C4" w:rsidRDefault="003711C4" w:rsidP="003711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1C4" w:rsidRDefault="003711C4" w:rsidP="00417280">
    <w:pPr>
      <w:pStyle w:val="Header"/>
      <w:jc w:val="center"/>
    </w:pPr>
    <w:r>
      <w:t>Wilderness Wanderings 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571A8"/>
    <w:multiLevelType w:val="hybridMultilevel"/>
    <w:tmpl w:val="F66AE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24B"/>
    <w:rsid w:val="000054B2"/>
    <w:rsid w:val="00031D31"/>
    <w:rsid w:val="000506BE"/>
    <w:rsid w:val="001B192D"/>
    <w:rsid w:val="001B2FDD"/>
    <w:rsid w:val="002B2DEF"/>
    <w:rsid w:val="003711C4"/>
    <w:rsid w:val="00410663"/>
    <w:rsid w:val="00417280"/>
    <w:rsid w:val="00436A3F"/>
    <w:rsid w:val="006E0D0F"/>
    <w:rsid w:val="00714FC7"/>
    <w:rsid w:val="0076124B"/>
    <w:rsid w:val="00800FF8"/>
    <w:rsid w:val="009C3A2A"/>
    <w:rsid w:val="009F6C04"/>
    <w:rsid w:val="00A823D6"/>
    <w:rsid w:val="00D03FD9"/>
    <w:rsid w:val="00F72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79ABEAE7-876B-4169-B418-41A423B6F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11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1C4"/>
  </w:style>
  <w:style w:type="paragraph" w:styleId="Footer">
    <w:name w:val="footer"/>
    <w:basedOn w:val="Normal"/>
    <w:link w:val="FooterChar"/>
    <w:uiPriority w:val="99"/>
    <w:unhideWhenUsed/>
    <w:rsid w:val="003711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1C4"/>
  </w:style>
  <w:style w:type="paragraph" w:styleId="ListParagraph">
    <w:name w:val="List Paragraph"/>
    <w:basedOn w:val="Normal"/>
    <w:uiPriority w:val="34"/>
    <w:qFormat/>
    <w:rsid w:val="00410663"/>
    <w:pPr>
      <w:ind w:left="720"/>
      <w:contextualSpacing/>
    </w:pPr>
  </w:style>
  <w:style w:type="paragraph" w:styleId="BalloonText">
    <w:name w:val="Balloon Text"/>
    <w:basedOn w:val="Normal"/>
    <w:link w:val="BalloonTextChar"/>
    <w:uiPriority w:val="99"/>
    <w:semiHidden/>
    <w:unhideWhenUsed/>
    <w:rsid w:val="00D03F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3F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3</Pages>
  <Words>832</Words>
  <Characters>4745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2020-07-08T20:46:00Z</cp:lastPrinted>
  <dcterms:created xsi:type="dcterms:W3CDTF">2020-07-08T18:12:00Z</dcterms:created>
  <dcterms:modified xsi:type="dcterms:W3CDTF">2020-07-08T21:54:00Z</dcterms:modified>
</cp:coreProperties>
</file>