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0FF8" w:rsidRPr="003711C4" w:rsidRDefault="003711C4" w:rsidP="003711C4">
      <w:pPr>
        <w:jc w:val="center"/>
        <w:rPr>
          <w:b/>
          <w:sz w:val="32"/>
        </w:rPr>
      </w:pPr>
      <w:r w:rsidRPr="003711C4">
        <w:rPr>
          <w:b/>
          <w:sz w:val="32"/>
        </w:rPr>
        <w:t xml:space="preserve">The Israelites in the Wilderness Discussion </w:t>
      </w:r>
      <w:r w:rsidR="001B192D">
        <w:rPr>
          <w:b/>
          <w:sz w:val="32"/>
        </w:rPr>
        <w:t xml:space="preserve"># </w:t>
      </w:r>
      <w:r w:rsidR="00FD22AD">
        <w:rPr>
          <w:b/>
          <w:sz w:val="32"/>
        </w:rPr>
        <w:t>04—Prepare for 7/29</w:t>
      </w:r>
      <w:r w:rsidR="001B192D">
        <w:rPr>
          <w:b/>
          <w:sz w:val="32"/>
        </w:rPr>
        <w:t>/20</w:t>
      </w:r>
    </w:p>
    <w:p w:rsidR="003711C4" w:rsidRDefault="003711C4" w:rsidP="003711C4">
      <w:pPr>
        <w:jc w:val="center"/>
        <w:rPr>
          <w:sz w:val="32"/>
        </w:rPr>
      </w:pPr>
      <w:r>
        <w:rPr>
          <w:sz w:val="32"/>
        </w:rPr>
        <w:t xml:space="preserve">Read:  </w:t>
      </w:r>
      <w:r w:rsidR="00FD22AD">
        <w:rPr>
          <w:b/>
          <w:sz w:val="32"/>
          <w:u w:val="single"/>
        </w:rPr>
        <w:t>Numbers 13</w:t>
      </w:r>
      <w:r w:rsidR="00D94FE2">
        <w:rPr>
          <w:b/>
          <w:sz w:val="32"/>
          <w:u w:val="single"/>
        </w:rPr>
        <w:t xml:space="preserve"> and Deuteronomy 1:1-3, 19-40</w:t>
      </w:r>
    </w:p>
    <w:p w:rsidR="00AD7EA5" w:rsidRPr="009C3A2A" w:rsidRDefault="00AD7EA5" w:rsidP="00AD7EA5">
      <w:pPr>
        <w:spacing w:line="276" w:lineRule="auto"/>
        <w:rPr>
          <w:b/>
          <w:sz w:val="28"/>
        </w:rPr>
      </w:pPr>
      <w:r>
        <w:rPr>
          <w:b/>
          <w:sz w:val="28"/>
        </w:rPr>
        <w:t xml:space="preserve">When do the events of the chapter take place?  How long have the Israelites been traveling?  Consider Numbers 13:20.  </w:t>
      </w:r>
    </w:p>
    <w:p w:rsidR="00417280" w:rsidRDefault="00D47F72" w:rsidP="009C3A2A">
      <w:pPr>
        <w:spacing w:line="276" w:lineRule="auto"/>
        <w:rPr>
          <w:sz w:val="28"/>
        </w:rPr>
      </w:pPr>
      <w:r>
        <w:rPr>
          <w:sz w:val="28"/>
        </w:rPr>
        <w:t xml:space="preserve">This takes place in the “time of the first-ripe grapes,” which would date this incident in about the fifth month of the second year after Israel left Egypt.  </w:t>
      </w:r>
      <w:r w:rsidR="00030C57">
        <w:rPr>
          <w:sz w:val="28"/>
        </w:rPr>
        <w:t>They have traveled all the way to Kadesh-</w:t>
      </w:r>
      <w:proofErr w:type="spellStart"/>
      <w:r w:rsidR="00030C57">
        <w:rPr>
          <w:sz w:val="28"/>
        </w:rPr>
        <w:t>barnea</w:t>
      </w:r>
      <w:proofErr w:type="spellEnd"/>
      <w:r w:rsidR="00030C57">
        <w:rPr>
          <w:sz w:val="28"/>
        </w:rPr>
        <w:t xml:space="preserve">, close to Canaan.  It’s been about five months since the tabernacle was erected and dedicated.  The story must have skipped over a fair amount of reasonably peaceable travel to get to this point.  </w:t>
      </w:r>
    </w:p>
    <w:p w:rsidR="00AD7EA5" w:rsidRPr="009C3A2A" w:rsidRDefault="00AD7EA5" w:rsidP="00AD7EA5">
      <w:pPr>
        <w:spacing w:line="276" w:lineRule="auto"/>
        <w:rPr>
          <w:b/>
          <w:sz w:val="28"/>
        </w:rPr>
      </w:pPr>
      <w:r>
        <w:rPr>
          <w:b/>
          <w:sz w:val="28"/>
        </w:rPr>
        <w:t xml:space="preserve">Why did Moses send spies into Canaan?  What were they supposed to find out?  Whose idea was it to send spies into Canaan?  </w:t>
      </w:r>
    </w:p>
    <w:p w:rsidR="00417280" w:rsidRDefault="000E3E91" w:rsidP="009C3A2A">
      <w:pPr>
        <w:spacing w:line="276" w:lineRule="auto"/>
        <w:rPr>
          <w:sz w:val="28"/>
        </w:rPr>
      </w:pPr>
      <w:r>
        <w:rPr>
          <w:sz w:val="28"/>
        </w:rPr>
        <w:t xml:space="preserve">According to Deuteronomy 1, God told the Israelites to go up and possess the land.  The Israelites suggested sending spies to search out the land and bring word “by what way we must go up and into what cities we shall come.”  Moses consented.  According to Numbers 13, God consented as well, sending twelve leaders, one from each tribe, to spy out the land.  They were to evaluate the land and its resources, and they were supposed to see whether the people who lived there were weak or strong, few or many.  And they were supposed to bring back some of the fruit of the land.  </w:t>
      </w:r>
    </w:p>
    <w:p w:rsidR="009C3A2A" w:rsidRPr="009C3A2A" w:rsidRDefault="00AD7EA5" w:rsidP="009C3A2A">
      <w:pPr>
        <w:spacing w:line="276" w:lineRule="auto"/>
        <w:rPr>
          <w:b/>
          <w:sz w:val="28"/>
        </w:rPr>
      </w:pPr>
      <w:r>
        <w:rPr>
          <w:b/>
          <w:sz w:val="28"/>
        </w:rPr>
        <w:t xml:space="preserve">Who is sent from the tribe of Ephraim?  Consider Deuteronomy 1:38 and Numbers 13:16.  </w:t>
      </w:r>
    </w:p>
    <w:p w:rsidR="009C3A2A" w:rsidRDefault="000E3E91" w:rsidP="009C3A2A">
      <w:pPr>
        <w:spacing w:line="276" w:lineRule="auto"/>
        <w:rPr>
          <w:sz w:val="28"/>
        </w:rPr>
      </w:pPr>
      <w:r>
        <w:rPr>
          <w:sz w:val="28"/>
        </w:rPr>
        <w:t>Apparently “</w:t>
      </w:r>
      <w:proofErr w:type="spellStart"/>
      <w:r>
        <w:rPr>
          <w:sz w:val="28"/>
        </w:rPr>
        <w:t>Oshea</w:t>
      </w:r>
      <w:proofErr w:type="spellEnd"/>
      <w:r>
        <w:rPr>
          <w:sz w:val="28"/>
        </w:rPr>
        <w:t xml:space="preserve"> the son of Nun” was sent from Ephraim.  But “Moses called </w:t>
      </w:r>
      <w:proofErr w:type="spellStart"/>
      <w:r>
        <w:rPr>
          <w:sz w:val="28"/>
        </w:rPr>
        <w:t>Oshea</w:t>
      </w:r>
      <w:proofErr w:type="spellEnd"/>
      <w:r>
        <w:rPr>
          <w:sz w:val="28"/>
        </w:rPr>
        <w:t xml:space="preserve"> the son of Nun Jehoshua.”  Deuteronomy calls him “Joshua.”  It was the same Joshua, son of Nun, who had been serving as Moses’ apprentice for some time.  </w:t>
      </w:r>
    </w:p>
    <w:p w:rsidR="00417280" w:rsidRPr="009C3A2A" w:rsidRDefault="00AD7EA5" w:rsidP="00417280">
      <w:pPr>
        <w:spacing w:line="276" w:lineRule="auto"/>
        <w:rPr>
          <w:b/>
          <w:sz w:val="28"/>
        </w:rPr>
      </w:pPr>
      <w:r>
        <w:rPr>
          <w:b/>
          <w:sz w:val="28"/>
        </w:rPr>
        <w:t xml:space="preserve">Look at the map.  Why does Moses send the spies “up this way southward” in Numbers 13:17?  </w:t>
      </w:r>
    </w:p>
    <w:p w:rsidR="00417280" w:rsidRDefault="000E3E91" w:rsidP="00417280">
      <w:pPr>
        <w:spacing w:line="276" w:lineRule="auto"/>
        <w:rPr>
          <w:sz w:val="28"/>
        </w:rPr>
      </w:pPr>
      <w:r>
        <w:rPr>
          <w:sz w:val="28"/>
        </w:rPr>
        <w:t xml:space="preserve">Looking at the map, it’s clear that the spies actually had to go northward from Kadesh to reach Canaan.  </w:t>
      </w:r>
      <w:r w:rsidR="009F4F6E">
        <w:rPr>
          <w:sz w:val="28"/>
        </w:rPr>
        <w:t>But the country that they went toward was called the “south” country.  The word came from a root meaning “dry” or “parched” and was generally applied to the desert country on the southern border of Palestine.  This was a transition area between the southern desert and the more hospitable land to the north, which was good for grazing.  This area is known by the same name today.  In view of the fact that the “</w:t>
      </w:r>
      <w:proofErr w:type="spellStart"/>
      <w:r w:rsidR="009F4F6E">
        <w:rPr>
          <w:sz w:val="28"/>
        </w:rPr>
        <w:t>Negeb</w:t>
      </w:r>
      <w:proofErr w:type="spellEnd"/>
      <w:r w:rsidR="009F4F6E">
        <w:rPr>
          <w:sz w:val="28"/>
        </w:rPr>
        <w:t xml:space="preserve">” lay to the south of Palestine, the word came to be the usual Hebrew term for “south,” as it is commonly translated in the KJV.  So the spies went “up” to the “south country,” but they actually travelled northward!  </w:t>
      </w:r>
    </w:p>
    <w:p w:rsidR="00417280" w:rsidRPr="009C3A2A" w:rsidRDefault="00AD7EA5" w:rsidP="00417280">
      <w:pPr>
        <w:spacing w:line="276" w:lineRule="auto"/>
        <w:rPr>
          <w:b/>
          <w:sz w:val="28"/>
        </w:rPr>
      </w:pPr>
      <w:r>
        <w:rPr>
          <w:b/>
          <w:sz w:val="28"/>
        </w:rPr>
        <w:lastRenderedPageBreak/>
        <w:t xml:space="preserve">What was the report of (most of) the spies?  Consider both Numbers and Deuteronomy.  </w:t>
      </w:r>
    </w:p>
    <w:p w:rsidR="00417280" w:rsidRDefault="009F4F6E" w:rsidP="00417280">
      <w:pPr>
        <w:spacing w:line="276" w:lineRule="auto"/>
        <w:rPr>
          <w:sz w:val="28"/>
        </w:rPr>
      </w:pPr>
      <w:r>
        <w:rPr>
          <w:sz w:val="28"/>
        </w:rPr>
        <w:t xml:space="preserve">They said that the land was flowing “with milk and honey.”  But that the people who lived there were strong, the cities walled and “very great,” and that “the children of </w:t>
      </w:r>
      <w:proofErr w:type="spellStart"/>
      <w:r>
        <w:rPr>
          <w:sz w:val="28"/>
        </w:rPr>
        <w:t>Anak</w:t>
      </w:r>
      <w:proofErr w:type="spellEnd"/>
      <w:r>
        <w:rPr>
          <w:sz w:val="28"/>
        </w:rPr>
        <w:t xml:space="preserve">” were there.  </w:t>
      </w:r>
      <w:r w:rsidR="002E5BA2">
        <w:rPr>
          <w:sz w:val="28"/>
        </w:rPr>
        <w:t>It’s thought that this means that the people were tall, wiry, and intimidating.  Later they’re said to be “of the giants.”  Numbers 13:32 calls it “an evil report.”  Deuteronomy 1:28 says “the people is greater and taller than we; the cities are great and walled up to heaven.”  The “</w:t>
      </w:r>
      <w:proofErr w:type="spellStart"/>
      <w:r w:rsidR="002E5BA2">
        <w:rPr>
          <w:sz w:val="28"/>
        </w:rPr>
        <w:t>Anakims</w:t>
      </w:r>
      <w:proofErr w:type="spellEnd"/>
      <w:r w:rsidR="002E5BA2">
        <w:rPr>
          <w:sz w:val="28"/>
        </w:rPr>
        <w:t xml:space="preserve">” are mentioned there as well.  The report was not necessarily false so long as the facts were concerned, but it was very intimidating.  From a human point of view, the conquest of Canaan seemed impossible  </w:t>
      </w:r>
    </w:p>
    <w:p w:rsidR="004945B1" w:rsidRPr="009C3A2A" w:rsidRDefault="00773159" w:rsidP="004945B1">
      <w:pPr>
        <w:spacing w:line="276" w:lineRule="auto"/>
        <w:rPr>
          <w:b/>
          <w:sz w:val="28"/>
        </w:rPr>
      </w:pPr>
      <w:r>
        <w:rPr>
          <w:b/>
          <w:sz w:val="28"/>
        </w:rPr>
        <w:t>What</w:t>
      </w:r>
      <w:r w:rsidR="00AD7EA5">
        <w:rPr>
          <w:b/>
          <w:sz w:val="28"/>
        </w:rPr>
        <w:t xml:space="preserve"> was Caleb’s report?  Joshua’s report?  Consider also Numbers 14:6-9.  </w:t>
      </w:r>
    </w:p>
    <w:p w:rsidR="004945B1" w:rsidRDefault="002E5BA2" w:rsidP="004945B1">
      <w:pPr>
        <w:spacing w:line="276" w:lineRule="auto"/>
        <w:rPr>
          <w:sz w:val="28"/>
        </w:rPr>
      </w:pPr>
      <w:r>
        <w:rPr>
          <w:sz w:val="28"/>
        </w:rPr>
        <w:t xml:space="preserve">Caleb says “let us go up at once and possess it; for we are well able to overcome it.”  Perhaps Joshua was more of a warrior than a public speaker, for his words are not recorded here.  But in Numbers 14 both Caleb and Joshua are spoken of as encouraging the people to go and take the land.  And in Deuteronomy God speaks of rewarding both Joshua and Caleb, so they must have had the same report.  </w:t>
      </w:r>
    </w:p>
    <w:p w:rsidR="00773159" w:rsidRPr="009C3A2A" w:rsidRDefault="00AD7EA5" w:rsidP="00773159">
      <w:pPr>
        <w:spacing w:line="276" w:lineRule="auto"/>
        <w:rPr>
          <w:b/>
          <w:sz w:val="28"/>
        </w:rPr>
      </w:pPr>
      <w:r>
        <w:rPr>
          <w:b/>
          <w:sz w:val="28"/>
        </w:rPr>
        <w:t xml:space="preserve">What was the chief objection to the land?  Why?  What does this tell us about the Israelites?  </w:t>
      </w:r>
    </w:p>
    <w:p w:rsidR="00417280" w:rsidRPr="009C3A2A" w:rsidRDefault="00773159">
      <w:pPr>
        <w:spacing w:line="276" w:lineRule="auto"/>
        <w:rPr>
          <w:sz w:val="28"/>
        </w:rPr>
      </w:pPr>
      <w:r>
        <w:rPr>
          <w:noProof/>
          <w:sz w:val="28"/>
        </w:rPr>
        <mc:AlternateContent>
          <mc:Choice Requires="wps">
            <w:drawing>
              <wp:anchor distT="0" distB="0" distL="114300" distR="114300" simplePos="0" relativeHeight="251659264" behindDoc="1" locked="0" layoutInCell="1" allowOverlap="1">
                <wp:simplePos x="0" y="0"/>
                <wp:positionH relativeFrom="column">
                  <wp:posOffset>-59690</wp:posOffset>
                </wp:positionH>
                <wp:positionV relativeFrom="paragraph">
                  <wp:posOffset>1751965</wp:posOffset>
                </wp:positionV>
                <wp:extent cx="7059295" cy="2178685"/>
                <wp:effectExtent l="19050" t="19050" r="27305" b="12065"/>
                <wp:wrapTight wrapText="bothSides">
                  <wp:wrapPolygon edited="0">
                    <wp:start x="-58" y="-189"/>
                    <wp:lineTo x="-58" y="21531"/>
                    <wp:lineTo x="21625" y="21531"/>
                    <wp:lineTo x="21625" y="-189"/>
                    <wp:lineTo x="-58" y="-189"/>
                  </wp:wrapPolygon>
                </wp:wrapTight>
                <wp:docPr id="1" name="Text Box 1"/>
                <wp:cNvGraphicFramePr/>
                <a:graphic xmlns:a="http://schemas.openxmlformats.org/drawingml/2006/main">
                  <a:graphicData uri="http://schemas.microsoft.com/office/word/2010/wordprocessingShape">
                    <wps:wsp>
                      <wps:cNvSpPr txBox="1"/>
                      <wps:spPr>
                        <a:xfrm>
                          <a:off x="0" y="0"/>
                          <a:ext cx="7059295" cy="2178685"/>
                        </a:xfrm>
                        <a:prstGeom prst="rect">
                          <a:avLst/>
                        </a:prstGeom>
                        <a:solidFill>
                          <a:schemeClr val="lt1"/>
                        </a:solidFill>
                        <a:ln w="28575">
                          <a:solidFill>
                            <a:schemeClr val="accent1">
                              <a:lumMod val="75000"/>
                            </a:schemeClr>
                          </a:solidFill>
                        </a:ln>
                        <a:effectLst/>
                      </wps:spPr>
                      <wps:style>
                        <a:lnRef idx="0">
                          <a:schemeClr val="accent1"/>
                        </a:lnRef>
                        <a:fillRef idx="0">
                          <a:schemeClr val="accent1"/>
                        </a:fillRef>
                        <a:effectRef idx="0">
                          <a:schemeClr val="accent1"/>
                        </a:effectRef>
                        <a:fontRef idx="minor">
                          <a:schemeClr val="dk1"/>
                        </a:fontRef>
                      </wps:style>
                      <wps:txbx>
                        <w:txbxContent>
                          <w:p w:rsidR="00417280" w:rsidRPr="00417280" w:rsidRDefault="00417280" w:rsidP="00417280">
                            <w:pPr>
                              <w:spacing w:line="276" w:lineRule="auto"/>
                              <w:rPr>
                                <w:b/>
                                <w:color w:val="2E74B5" w:themeColor="accent1" w:themeShade="BF"/>
                                <w:sz w:val="28"/>
                              </w:rPr>
                            </w:pPr>
                            <w:bookmarkStart w:id="0" w:name="_GoBack"/>
                            <w:r w:rsidRPr="00417280">
                              <w:rPr>
                                <w:b/>
                                <w:color w:val="2E74B5" w:themeColor="accent1" w:themeShade="BF"/>
                                <w:sz w:val="28"/>
                              </w:rPr>
                              <w:t xml:space="preserve">Notes and Observations:  </w:t>
                            </w:r>
                          </w:p>
                          <w:p w:rsidR="00417280" w:rsidRDefault="00E106E5" w:rsidP="00E106E5">
                            <w:pPr>
                              <w:pStyle w:val="ListParagraph"/>
                              <w:numPr>
                                <w:ilvl w:val="0"/>
                                <w:numId w:val="1"/>
                              </w:numPr>
                              <w:rPr>
                                <w:color w:val="2E74B5" w:themeColor="accent1" w:themeShade="BF"/>
                                <w:sz w:val="28"/>
                              </w:rPr>
                            </w:pPr>
                            <w:r>
                              <w:rPr>
                                <w:color w:val="2E74B5" w:themeColor="accent1" w:themeShade="BF"/>
                                <w:sz w:val="28"/>
                              </w:rPr>
                              <w:t xml:space="preserve">The spies went a bit further in their report than was required of them.  Had they merely stated the facts of the situation, they would have done their job.  But they interposed their private opinion that the task ahead was more than the strength of Israel could accomplish, which gave rise to all sorts of problems and punishments.  </w:t>
                            </w:r>
                          </w:p>
                          <w:p w:rsidR="00E106E5" w:rsidRPr="00E106E5" w:rsidRDefault="00E106E5" w:rsidP="00E106E5">
                            <w:pPr>
                              <w:pStyle w:val="ListParagraph"/>
                              <w:numPr>
                                <w:ilvl w:val="0"/>
                                <w:numId w:val="1"/>
                              </w:numPr>
                              <w:rPr>
                                <w:color w:val="2E74B5" w:themeColor="accent1" w:themeShade="BF"/>
                                <w:sz w:val="28"/>
                              </w:rPr>
                            </w:pPr>
                            <w:r>
                              <w:rPr>
                                <w:color w:val="2E74B5" w:themeColor="accent1" w:themeShade="BF"/>
                                <w:sz w:val="28"/>
                              </w:rPr>
                              <w:t xml:space="preserve">The enemies listed as living in Canaan included the Amalekites, Hittites, </w:t>
                            </w:r>
                            <w:proofErr w:type="spellStart"/>
                            <w:r>
                              <w:rPr>
                                <w:color w:val="2E74B5" w:themeColor="accent1" w:themeShade="BF"/>
                                <w:sz w:val="28"/>
                              </w:rPr>
                              <w:t>Jebusites</w:t>
                            </w:r>
                            <w:proofErr w:type="spellEnd"/>
                            <w:r>
                              <w:rPr>
                                <w:color w:val="2E74B5" w:themeColor="accent1" w:themeShade="BF"/>
                                <w:sz w:val="28"/>
                              </w:rPr>
                              <w:t xml:space="preserve">, Amorites, and Canaanites “by the sea.”  The Amalekites were descendants of Esau, but the others were mostly unrelated.  </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7pt;margin-top:137.95pt;width:555.85pt;height:171.5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" fillcolor="white [3201]" strokecolor="#2e74b5 [2404]" strokeweight="2.25pt">
                <v:textbox>
                  <w:txbxContent>
                    <w:p w:rsidR="00417280" w:rsidRPr="00417280" w:rsidRDefault="00417280" w:rsidP="00417280">
                      <w:pPr>
                        <w:spacing w:line="276" w:lineRule="auto"/>
                        <w:rPr>
                          <w:b/>
                          <w:color w:val="2E74B5" w:themeColor="accent1" w:themeShade="BF"/>
                          <w:sz w:val="28"/>
                        </w:rPr>
                      </w:pPr>
                      <w:bookmarkStart w:id="1" w:name="_GoBack"/>
                      <w:r w:rsidRPr="00417280">
                        <w:rPr>
                          <w:b/>
                          <w:color w:val="2E74B5" w:themeColor="accent1" w:themeShade="BF"/>
                          <w:sz w:val="28"/>
                        </w:rPr>
                        <w:t xml:space="preserve">Notes and Observations:  </w:t>
                      </w:r>
                    </w:p>
                    <w:p w:rsidR="00417280" w:rsidRDefault="00E106E5" w:rsidP="00E106E5">
                      <w:pPr>
                        <w:pStyle w:val="ListParagraph"/>
                        <w:numPr>
                          <w:ilvl w:val="0"/>
                          <w:numId w:val="1"/>
                        </w:numPr>
                        <w:rPr>
                          <w:color w:val="2E74B5" w:themeColor="accent1" w:themeShade="BF"/>
                          <w:sz w:val="28"/>
                        </w:rPr>
                      </w:pPr>
                      <w:r>
                        <w:rPr>
                          <w:color w:val="2E74B5" w:themeColor="accent1" w:themeShade="BF"/>
                          <w:sz w:val="28"/>
                        </w:rPr>
                        <w:t xml:space="preserve">The spies went a bit further in their report than was required of them.  Had they merely stated the facts of the situation, they would have done their job.  But they interposed their private opinion that the task ahead was more than the strength of Israel could accomplish, which gave rise to all sorts of problems and punishments.  </w:t>
                      </w:r>
                    </w:p>
                    <w:p w:rsidR="00E106E5" w:rsidRPr="00E106E5" w:rsidRDefault="00E106E5" w:rsidP="00E106E5">
                      <w:pPr>
                        <w:pStyle w:val="ListParagraph"/>
                        <w:numPr>
                          <w:ilvl w:val="0"/>
                          <w:numId w:val="1"/>
                        </w:numPr>
                        <w:rPr>
                          <w:color w:val="2E74B5" w:themeColor="accent1" w:themeShade="BF"/>
                          <w:sz w:val="28"/>
                        </w:rPr>
                      </w:pPr>
                      <w:r>
                        <w:rPr>
                          <w:color w:val="2E74B5" w:themeColor="accent1" w:themeShade="BF"/>
                          <w:sz w:val="28"/>
                        </w:rPr>
                        <w:t xml:space="preserve">The enemies listed as living in Canaan included the Amalekites, Hittites, </w:t>
                      </w:r>
                      <w:proofErr w:type="spellStart"/>
                      <w:r>
                        <w:rPr>
                          <w:color w:val="2E74B5" w:themeColor="accent1" w:themeShade="BF"/>
                          <w:sz w:val="28"/>
                        </w:rPr>
                        <w:t>Jebusites</w:t>
                      </w:r>
                      <w:proofErr w:type="spellEnd"/>
                      <w:r>
                        <w:rPr>
                          <w:color w:val="2E74B5" w:themeColor="accent1" w:themeShade="BF"/>
                          <w:sz w:val="28"/>
                        </w:rPr>
                        <w:t xml:space="preserve">, Amorites, and Canaanites “by the sea.”  The Amalekites were descendants of Esau, but the others were mostly unrelated.  </w:t>
                      </w:r>
                      <w:bookmarkEnd w:id="1"/>
                    </w:p>
                  </w:txbxContent>
                </v:textbox>
                <w10:wrap type="tight"/>
              </v:shape>
            </w:pict>
          </mc:Fallback>
        </mc:AlternateContent>
      </w:r>
      <w:r w:rsidR="00E106E5">
        <w:rPr>
          <w:sz w:val="28"/>
        </w:rPr>
        <w:t>The biggest objection</w:t>
      </w:r>
      <w:r w:rsidR="002E5BA2">
        <w:rPr>
          <w:sz w:val="28"/>
        </w:rPr>
        <w:t xml:space="preserve"> seems to have been the people who lived there, who were apparently very tall and strong.  The Israelites were afraid.  </w:t>
      </w:r>
      <w:r w:rsidR="00E106E5">
        <w:rPr>
          <w:sz w:val="28"/>
        </w:rPr>
        <w:t xml:space="preserve">They were sure that, in their own strength, they could not win a fight against the people of Canaan.  They said that “we be not able to go up against the people, for they are stronger than we.”  They were not including God in their calculations at all.  Moses reports in Deuteronomy that he told the Israelites “The Lord your God, which </w:t>
      </w:r>
      <w:proofErr w:type="spellStart"/>
      <w:r w:rsidR="00E106E5">
        <w:rPr>
          <w:sz w:val="28"/>
        </w:rPr>
        <w:t>goeth</w:t>
      </w:r>
      <w:proofErr w:type="spellEnd"/>
      <w:r w:rsidR="00E106E5">
        <w:rPr>
          <w:sz w:val="28"/>
        </w:rPr>
        <w:t xml:space="preserve"> before you, He shall fight for you,” but they “did not believe the Lord your God.” </w:t>
      </w:r>
    </w:p>
    <w:sectPr w:rsidR="00417280" w:rsidRPr="009C3A2A" w:rsidSect="00417280">
      <w:head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11C4" w:rsidRDefault="003711C4" w:rsidP="003711C4">
      <w:pPr>
        <w:spacing w:after="0" w:line="240" w:lineRule="auto"/>
      </w:pPr>
      <w:r>
        <w:separator/>
      </w:r>
    </w:p>
  </w:endnote>
  <w:endnote w:type="continuationSeparator" w:id="0">
    <w:p w:rsidR="003711C4" w:rsidRDefault="003711C4" w:rsidP="003711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11C4" w:rsidRDefault="003711C4" w:rsidP="003711C4">
      <w:pPr>
        <w:spacing w:after="0" w:line="240" w:lineRule="auto"/>
      </w:pPr>
      <w:r>
        <w:separator/>
      </w:r>
    </w:p>
  </w:footnote>
  <w:footnote w:type="continuationSeparator" w:id="0">
    <w:p w:rsidR="003711C4" w:rsidRDefault="003711C4" w:rsidP="003711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11C4" w:rsidRDefault="00FD22AD" w:rsidP="00417280">
    <w:pPr>
      <w:pStyle w:val="Header"/>
      <w:jc w:val="center"/>
    </w:pPr>
    <w:r>
      <w:t>Wilderness Wanderings 04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24D150E"/>
    <w:multiLevelType w:val="hybridMultilevel"/>
    <w:tmpl w:val="BA968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24B"/>
    <w:rsid w:val="00030C57"/>
    <w:rsid w:val="000E3E91"/>
    <w:rsid w:val="001B192D"/>
    <w:rsid w:val="002E5BA2"/>
    <w:rsid w:val="003711C4"/>
    <w:rsid w:val="00417280"/>
    <w:rsid w:val="00436A3F"/>
    <w:rsid w:val="004945B1"/>
    <w:rsid w:val="006E0D0F"/>
    <w:rsid w:val="0076124B"/>
    <w:rsid w:val="00773159"/>
    <w:rsid w:val="00800FF8"/>
    <w:rsid w:val="00893C51"/>
    <w:rsid w:val="00977C68"/>
    <w:rsid w:val="009C3A2A"/>
    <w:rsid w:val="009F4F6E"/>
    <w:rsid w:val="009F6C04"/>
    <w:rsid w:val="00AD7EA5"/>
    <w:rsid w:val="00BF3916"/>
    <w:rsid w:val="00C6600F"/>
    <w:rsid w:val="00D257FB"/>
    <w:rsid w:val="00D47F72"/>
    <w:rsid w:val="00D94FE2"/>
    <w:rsid w:val="00DB1115"/>
    <w:rsid w:val="00E106E5"/>
    <w:rsid w:val="00F72695"/>
    <w:rsid w:val="00FA76DD"/>
    <w:rsid w:val="00FD22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15:docId w15:val="{79ABEAE7-876B-4169-B418-41A423B6F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11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11C4"/>
  </w:style>
  <w:style w:type="paragraph" w:styleId="Footer">
    <w:name w:val="footer"/>
    <w:basedOn w:val="Normal"/>
    <w:link w:val="FooterChar"/>
    <w:uiPriority w:val="99"/>
    <w:unhideWhenUsed/>
    <w:rsid w:val="003711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11C4"/>
  </w:style>
  <w:style w:type="paragraph" w:styleId="BalloonText">
    <w:name w:val="Balloon Text"/>
    <w:basedOn w:val="Normal"/>
    <w:link w:val="BalloonTextChar"/>
    <w:uiPriority w:val="99"/>
    <w:semiHidden/>
    <w:unhideWhenUsed/>
    <w:rsid w:val="00FA76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76DD"/>
    <w:rPr>
      <w:rFonts w:ascii="Segoe UI" w:hAnsi="Segoe UI" w:cs="Segoe UI"/>
      <w:sz w:val="18"/>
      <w:szCs w:val="18"/>
    </w:rPr>
  </w:style>
  <w:style w:type="paragraph" w:styleId="ListParagraph">
    <w:name w:val="List Paragraph"/>
    <w:basedOn w:val="Normal"/>
    <w:uiPriority w:val="34"/>
    <w:qFormat/>
    <w:rsid w:val="00E106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2</Pages>
  <Words>658</Words>
  <Characters>3754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3</cp:revision>
  <cp:lastPrinted>2020-07-15T22:12:00Z</cp:lastPrinted>
  <dcterms:created xsi:type="dcterms:W3CDTF">2020-07-29T19:23:00Z</dcterms:created>
  <dcterms:modified xsi:type="dcterms:W3CDTF">2020-07-29T20:52:00Z</dcterms:modified>
</cp:coreProperties>
</file>