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462330">
        <w:rPr>
          <w:b/>
          <w:sz w:val="32"/>
        </w:rPr>
        <w:t>07—Prepare for 8/26</w:t>
      </w:r>
      <w:r w:rsidR="001B192D">
        <w:rPr>
          <w:b/>
          <w:sz w:val="32"/>
        </w:rPr>
        <w:t>/20</w:t>
      </w:r>
    </w:p>
    <w:p w:rsidR="003711C4" w:rsidRDefault="003711C4" w:rsidP="003711C4">
      <w:pPr>
        <w:jc w:val="center"/>
        <w:rPr>
          <w:sz w:val="32"/>
        </w:rPr>
      </w:pPr>
      <w:r>
        <w:rPr>
          <w:sz w:val="32"/>
        </w:rPr>
        <w:t xml:space="preserve">Read:  </w:t>
      </w:r>
      <w:r w:rsidR="0076624F">
        <w:rPr>
          <w:b/>
          <w:sz w:val="32"/>
          <w:u w:val="single"/>
        </w:rPr>
        <w:t>Numbers 1</w:t>
      </w:r>
      <w:r w:rsidR="00462330">
        <w:rPr>
          <w:b/>
          <w:sz w:val="32"/>
          <w:u w:val="single"/>
        </w:rPr>
        <w:t>7:1-18:7</w:t>
      </w:r>
    </w:p>
    <w:p w:rsidR="00AD7EA5" w:rsidRPr="009C3A2A" w:rsidRDefault="00462330" w:rsidP="00AD7EA5">
      <w:pPr>
        <w:spacing w:line="276" w:lineRule="auto"/>
        <w:rPr>
          <w:b/>
          <w:sz w:val="28"/>
        </w:rPr>
      </w:pPr>
      <w:r>
        <w:rPr>
          <w:b/>
          <w:sz w:val="28"/>
        </w:rPr>
        <w:t>How many rods were there</w:t>
      </w:r>
      <w:r w:rsidR="00D708AC">
        <w:rPr>
          <w:b/>
          <w:sz w:val="28"/>
        </w:rPr>
        <w:t xml:space="preserve">?  </w:t>
      </w:r>
      <w:r>
        <w:rPr>
          <w:b/>
          <w:sz w:val="28"/>
        </w:rPr>
        <w:t>Why?</w:t>
      </w:r>
    </w:p>
    <w:p w:rsidR="008E5FBD" w:rsidRDefault="00CA036F" w:rsidP="00AD7EA5">
      <w:pPr>
        <w:spacing w:line="276" w:lineRule="auto"/>
        <w:rPr>
          <w:sz w:val="28"/>
        </w:rPr>
      </w:pPr>
      <w:r>
        <w:rPr>
          <w:sz w:val="28"/>
        </w:rPr>
        <w:t xml:space="preserve">There were, according to 17:1, twelve rods.  These were the official symbols of the tribal authority vested in the princes.  The reference is not to rods or sticks freshly cut from trees.  The same Hebrew word is used of the staff of Judah in Genesis 38:18 and of the rod of Moses in Exodus 4:2.  There were twelve tribes in addition to Levi, but there was also a rod for Aaron.  Apparently it’s debatable whether Joseph was counted as a single tribe or separately as Ephraim and Manasseh, or whether Aaron’s rod was in addition to the twelve for the tribal princes.  I personally read verse 6 as clearly stating that there were twelve rods including Aaron’s rod.  </w:t>
      </w:r>
    </w:p>
    <w:p w:rsidR="00AD7EA5" w:rsidRPr="008E5FBD" w:rsidRDefault="00462330" w:rsidP="00AD7EA5">
      <w:pPr>
        <w:spacing w:line="276" w:lineRule="auto"/>
        <w:rPr>
          <w:sz w:val="28"/>
        </w:rPr>
      </w:pPr>
      <w:r>
        <w:rPr>
          <w:b/>
          <w:sz w:val="28"/>
        </w:rPr>
        <w:t>What was written on them?</w:t>
      </w:r>
      <w:r w:rsidRPr="00462330">
        <w:rPr>
          <w:b/>
          <w:sz w:val="28"/>
        </w:rPr>
        <w:t xml:space="preserve"> </w:t>
      </w:r>
      <w:r>
        <w:rPr>
          <w:b/>
          <w:sz w:val="28"/>
        </w:rPr>
        <w:t xml:space="preserve"> Why?</w:t>
      </w:r>
    </w:p>
    <w:p w:rsidR="00417280" w:rsidRDefault="008E5FBD" w:rsidP="009C3A2A">
      <w:pPr>
        <w:spacing w:line="276" w:lineRule="auto"/>
        <w:rPr>
          <w:sz w:val="28"/>
        </w:rPr>
      </w:pPr>
      <w:r>
        <w:rPr>
          <w:sz w:val="28"/>
        </w:rPr>
        <w:t xml:space="preserve">The names of the leaders of the twelve tribes were written on the rods.  Aaron’s name was written on the rod of Levi.  There was evidently still a certain amount of unrest regarding Aaron’s status as high priest.  Even though </w:t>
      </w:r>
      <w:proofErr w:type="spellStart"/>
      <w:r>
        <w:rPr>
          <w:sz w:val="28"/>
        </w:rPr>
        <w:t>Korah’s</w:t>
      </w:r>
      <w:proofErr w:type="spellEnd"/>
      <w:r>
        <w:rPr>
          <w:sz w:val="28"/>
        </w:rPr>
        <w:t xml:space="preserve"> rebellion had been firmly put down (twice), it seems that God needed to make a further statement about His chosen leaders.  So it wasn’t sufficient to have the rod of the tribe of Levi.  The rod needed to be personally associated with Aaron.  So names were written on the rods to allow God to make a statement about individuals as well as tribes.  </w:t>
      </w:r>
    </w:p>
    <w:p w:rsidR="009C3A2A" w:rsidRPr="009C3A2A" w:rsidRDefault="00462330" w:rsidP="009C3A2A">
      <w:pPr>
        <w:spacing w:line="276" w:lineRule="auto"/>
        <w:rPr>
          <w:b/>
          <w:sz w:val="28"/>
        </w:rPr>
      </w:pPr>
      <w:r>
        <w:rPr>
          <w:b/>
          <w:sz w:val="28"/>
        </w:rPr>
        <w:t xml:space="preserve">What did Moses do with the rods?  What was the point of this exercise?    </w:t>
      </w:r>
    </w:p>
    <w:p w:rsidR="009C3A2A" w:rsidRDefault="008E5FBD" w:rsidP="009C3A2A">
      <w:pPr>
        <w:spacing w:line="276" w:lineRule="auto"/>
        <w:rPr>
          <w:sz w:val="28"/>
        </w:rPr>
      </w:pPr>
      <w:r>
        <w:rPr>
          <w:sz w:val="28"/>
        </w:rPr>
        <w:t xml:space="preserve">Moses took the rods and put them in the “tabernacle of the congregation before the testimony.”  Since the “testimony” is the law, the </w:t>
      </w:r>
      <w:r w:rsidR="003C4A44">
        <w:rPr>
          <w:sz w:val="28"/>
        </w:rPr>
        <w:t>Ten Commandments</w:t>
      </w:r>
      <w:r>
        <w:rPr>
          <w:sz w:val="28"/>
        </w:rPr>
        <w:t xml:space="preserve">, this suggests that the rods were placed in the Most Holy place, before the Ark of the Covenant.  </w:t>
      </w:r>
      <w:r w:rsidR="003C4A44">
        <w:rPr>
          <w:sz w:val="28"/>
        </w:rPr>
        <w:t xml:space="preserve">Intriguingly, in 17:4 God adds the phrase, “where I meet with you.”  The point of this exercise is clearly stated in 17:5.  It was to “make to cease” the “murmurings of the children of Israel, whereby they murmur against you,” that is, against Moses and Aaron.  </w:t>
      </w:r>
    </w:p>
    <w:p w:rsidR="00417280" w:rsidRPr="009C3A2A" w:rsidRDefault="00462330" w:rsidP="00417280">
      <w:pPr>
        <w:spacing w:line="276" w:lineRule="auto"/>
        <w:rPr>
          <w:b/>
          <w:sz w:val="28"/>
        </w:rPr>
      </w:pPr>
      <w:r>
        <w:rPr>
          <w:b/>
          <w:sz w:val="28"/>
        </w:rPr>
        <w:t xml:space="preserve">What happens to the rods?  Why is Aaron’s rod to be taken back?  </w:t>
      </w:r>
    </w:p>
    <w:p w:rsidR="009039CC" w:rsidRDefault="009039CC" w:rsidP="00417280">
      <w:pPr>
        <w:spacing w:line="276" w:lineRule="auto"/>
        <w:rPr>
          <w:sz w:val="28"/>
        </w:rPr>
      </w:pPr>
      <w:r>
        <w:rPr>
          <w:sz w:val="28"/>
        </w:rPr>
        <w:t xml:space="preserve">Moses placed the rods in the tabernacle (here called the tabernacle of witness), as he had been directed.  The next morning Moses went into the tabernacle and saw that the rod of Aaron had “budded, and brought forth buds, and bloomed blossoms, and yielded almonds.”  This was clear evidence of God’s will.  The staff that had been placed there for Aaron could not have received life, germinated, brought forth bud, flower, and mature fruit if God had not </w:t>
      </w:r>
      <w:r>
        <w:rPr>
          <w:sz w:val="28"/>
        </w:rPr>
        <w:lastRenderedPageBreak/>
        <w:t xml:space="preserve">imparted to it life and miraculous growth.  None could doubt that a miracle had been performed.  Each of the leaders identified his own staff.  The evidence was clear.  And Aaron’s rod was to be taken back into the Most Holy Place, where the miracle had been performed, and kept as a token of God’s favor toward Aaron’s family in the priesthood.  </w:t>
      </w:r>
    </w:p>
    <w:p w:rsidR="00417280" w:rsidRPr="009C3A2A" w:rsidRDefault="000A2164" w:rsidP="00417280">
      <w:pPr>
        <w:spacing w:line="276" w:lineRule="auto"/>
        <w:rPr>
          <w:b/>
          <w:sz w:val="28"/>
        </w:rPr>
      </w:pPr>
      <w:r>
        <w:rPr>
          <w:b/>
          <w:sz w:val="28"/>
        </w:rPr>
        <w:t>What were the people saying in Numbers 17:1</w:t>
      </w:r>
      <w:r w:rsidR="00200565">
        <w:rPr>
          <w:b/>
          <w:sz w:val="28"/>
        </w:rPr>
        <w:t>2</w:t>
      </w:r>
      <w:r>
        <w:rPr>
          <w:b/>
          <w:sz w:val="28"/>
        </w:rPr>
        <w:t>-1</w:t>
      </w:r>
      <w:r w:rsidR="00200565">
        <w:rPr>
          <w:b/>
          <w:sz w:val="28"/>
        </w:rPr>
        <w:t>3</w:t>
      </w:r>
      <w:r w:rsidR="007879C6">
        <w:rPr>
          <w:b/>
          <w:sz w:val="28"/>
        </w:rPr>
        <w:t xml:space="preserve">?  </w:t>
      </w:r>
      <w:r>
        <w:rPr>
          <w:b/>
          <w:sz w:val="28"/>
        </w:rPr>
        <w:t xml:space="preserve">Why?  </w:t>
      </w:r>
    </w:p>
    <w:p w:rsidR="00417280" w:rsidRDefault="009039CC" w:rsidP="00417280">
      <w:pPr>
        <w:spacing w:line="276" w:lineRule="auto"/>
        <w:rPr>
          <w:sz w:val="28"/>
        </w:rPr>
      </w:pPr>
      <w:r>
        <w:rPr>
          <w:sz w:val="28"/>
        </w:rPr>
        <w:t xml:space="preserve">The people finally began to recognize God’s authority.  A fitting sense of awe and fear entered into the hearts of the people and made them willing to approach Moses as the mediator chosen by God.  </w:t>
      </w:r>
      <w:r w:rsidR="00200565">
        <w:rPr>
          <w:sz w:val="28"/>
        </w:rPr>
        <w:t xml:space="preserve">They also began to realize that their future safety depended upon obedience to God’s will.  Anyone aside from God’s chosen priests approaching too closely to the tabernacle was indeed at risk.  The people began to realize that access to Jehovah, the privilege that they had sought through </w:t>
      </w:r>
      <w:proofErr w:type="spellStart"/>
      <w:r w:rsidR="00200565">
        <w:rPr>
          <w:sz w:val="28"/>
        </w:rPr>
        <w:t>Korah</w:t>
      </w:r>
      <w:proofErr w:type="spellEnd"/>
      <w:r w:rsidR="00200565">
        <w:rPr>
          <w:sz w:val="28"/>
        </w:rPr>
        <w:t xml:space="preserve">, might be theirs only through the </w:t>
      </w:r>
      <w:proofErr w:type="spellStart"/>
      <w:r w:rsidR="00200565">
        <w:rPr>
          <w:sz w:val="28"/>
        </w:rPr>
        <w:t>mediatorship</w:t>
      </w:r>
      <w:proofErr w:type="spellEnd"/>
      <w:r w:rsidR="00200565">
        <w:rPr>
          <w:sz w:val="28"/>
        </w:rPr>
        <w:t xml:space="preserve"> of those appointed by God.  But as appears to be typical (for humanity), they rather overstate this conclusion with a suggestion that they were being mistreated in some way.  “Shall we be consumed with dying?”  This seems to me tantamount to the statement, “We’re all going to be killed!” which is of course neither accurate nor helpful.  </w:t>
      </w:r>
    </w:p>
    <w:p w:rsidR="007879C6" w:rsidRPr="009C3A2A" w:rsidRDefault="000A2164" w:rsidP="001D2D4F">
      <w:pPr>
        <w:spacing w:line="276" w:lineRule="auto"/>
        <w:rPr>
          <w:b/>
          <w:sz w:val="28"/>
        </w:rPr>
      </w:pPr>
      <w:r>
        <w:rPr>
          <w:b/>
          <w:sz w:val="28"/>
        </w:rPr>
        <w:t xml:space="preserve">What “iniquity” is God speaking of in Numbers 18:1?  Why?  </w:t>
      </w:r>
    </w:p>
    <w:p w:rsidR="00417280" w:rsidRDefault="00AC15AD">
      <w:pPr>
        <w:spacing w:line="276" w:lineRule="auto"/>
        <w:rPr>
          <w:sz w:val="28"/>
        </w:rPr>
      </w:pPr>
      <w:r>
        <w:rPr>
          <w:sz w:val="28"/>
        </w:rPr>
        <w:t>The priests bore responsibility for preventing unauthorized people from approaching the tabernacle.  It’s not that they would “bear the iniquity” in the sense of being responsible for sin.  They would “bear the iniquity” in the sense that they were responsible for preventing the sin of defiling the tabernacle.  This role was unique to the priests, not extended to the rest of the Levites.  Thus the priests fulfilling the ro</w:t>
      </w:r>
      <w:r w:rsidR="00DF1AFB">
        <w:rPr>
          <w:sz w:val="28"/>
        </w:rPr>
        <w:t xml:space="preserve">le of protecting the tabernacle could allay the fears of the rest of the congregation that in coming near the tabernacle they risked death.  </w:t>
      </w:r>
    </w:p>
    <w:p w:rsidR="008016A8" w:rsidRDefault="000A2164" w:rsidP="007879C6">
      <w:pPr>
        <w:spacing w:line="276" w:lineRule="auto"/>
        <w:rPr>
          <w:b/>
          <w:sz w:val="28"/>
        </w:rPr>
      </w:pPr>
      <w:r>
        <w:rPr>
          <w:b/>
          <w:sz w:val="28"/>
        </w:rPr>
        <w:t xml:space="preserve">Explain Numbers 18:3-4.  How can a group “keep the charge” of something without coming near it?  </w:t>
      </w:r>
    </w:p>
    <w:p w:rsidR="007879C6" w:rsidRDefault="008016A8" w:rsidP="007879C6">
      <w:pPr>
        <w:spacing w:line="276" w:lineRule="auto"/>
        <w:rPr>
          <w:sz w:val="28"/>
        </w:rPr>
      </w:pPr>
      <w:r>
        <w:rPr>
          <w:sz w:val="28"/>
        </w:rPr>
        <w:t xml:space="preserve">The Levites were responsible outside the tabernacle, as the priests were within.  </w:t>
      </w:r>
      <w:r w:rsidR="004768E9">
        <w:rPr>
          <w:sz w:val="28"/>
        </w:rPr>
        <w:t xml:space="preserve">Only the priests were to be involved with the holy things—the tabernacle furniture, the altar of burnt offering, and so forth—and to cover them when they were to be moved.  But the Levites still worked in and for the sanctuary system.  They assisted the priests in the ministry of the Lord.  You must have noticed that there are always a lot of jobs around a church that don’t involve the most sacred things.  I suspect that this has always held true!  </w:t>
      </w:r>
      <w:r w:rsidR="00F422E3">
        <w:rPr>
          <w:sz w:val="28"/>
        </w:rPr>
        <w:t xml:space="preserve">Someone had to administer the details:  Every firstborn male animal (if clean) had to be sacrificed or redeemed, or of course killed if it were unclean.  Tithes had to be collected and allocated.  Sacrificial animals had to be held at the gate of the tabernacle in some kind of organized fashion, and they had to </w:t>
      </w:r>
      <w:r w:rsidR="00F422E3">
        <w:rPr>
          <w:sz w:val="28"/>
        </w:rPr>
        <w:lastRenderedPageBreak/>
        <w:t>be checked for blemishes.  Different combinations of animals, food, and drink were appropriate for different kinds of sacrifices (sin offering, peace offering, heave offering, wave offering, and so on), and someone needed to check that all required elements and amounts were present.  Probably they also needed a list of the particular types of sacrifices to be completed in a given afternoon.  Someone had to haul wat</w:t>
      </w:r>
      <w:r w:rsidR="00B43809">
        <w:rPr>
          <w:sz w:val="28"/>
        </w:rPr>
        <w:t xml:space="preserve">er, wash the ephods, carry the firewood, and keep track of the olive oil supply.  I don’t know which, if any, of these tasks were accomplished by the priests rather than the Levites, but it seems safe to assume that the Levites were kept busy with sanctuary-related chores.  Thus they had a closer relationship with the sanctuary than most of the Israelites, and they were responsible for preventing unauthorized people from doing any of the jobs associated with the sanctuary.  In this sense they were keeping the charge of the tabernacle.  But their tasks did not extend to the holy </w:t>
      </w:r>
      <w:r w:rsidR="00B43809">
        <w:rPr>
          <w:noProof/>
          <w:sz w:val="28"/>
        </w:rPr>
        <mc:AlternateContent>
          <mc:Choice Requires="wps">
            <w:drawing>
              <wp:anchor distT="0" distB="0" distL="114300" distR="114300" simplePos="0" relativeHeight="251659264" behindDoc="1" locked="0" layoutInCell="1" allowOverlap="1" wp14:anchorId="5E6F97DC" wp14:editId="7A21C1F6">
                <wp:simplePos x="0" y="0"/>
                <wp:positionH relativeFrom="column">
                  <wp:posOffset>-139700</wp:posOffset>
                </wp:positionH>
                <wp:positionV relativeFrom="paragraph">
                  <wp:posOffset>3112135</wp:posOffset>
                </wp:positionV>
                <wp:extent cx="7059295" cy="2120900"/>
                <wp:effectExtent l="19050" t="19050" r="27305" b="12700"/>
                <wp:wrapTight wrapText="bothSides">
                  <wp:wrapPolygon edited="0">
                    <wp:start x="-58" y="-194"/>
                    <wp:lineTo x="-58" y="21535"/>
                    <wp:lineTo x="21625" y="21535"/>
                    <wp:lineTo x="21625" y="-194"/>
                    <wp:lineTo x="-58" y="-194"/>
                  </wp:wrapPolygon>
                </wp:wrapTight>
                <wp:docPr id="1" name="Text Box 1"/>
                <wp:cNvGraphicFramePr/>
                <a:graphic xmlns:a="http://schemas.openxmlformats.org/drawingml/2006/main">
                  <a:graphicData uri="http://schemas.microsoft.com/office/word/2010/wordprocessingShape">
                    <wps:wsp>
                      <wps:cNvSpPr txBox="1"/>
                      <wps:spPr>
                        <a:xfrm>
                          <a:off x="0" y="0"/>
                          <a:ext cx="7059295" cy="2120900"/>
                        </a:xfrm>
                        <a:prstGeom prst="rect">
                          <a:avLst/>
                        </a:prstGeom>
                        <a:solidFill>
                          <a:sysClr val="window" lastClr="FFFFFF"/>
                        </a:solidFill>
                        <a:ln w="28575">
                          <a:solidFill>
                            <a:srgbClr val="5B9BD5">
                              <a:lumMod val="75000"/>
                            </a:srgbClr>
                          </a:solidFill>
                        </a:ln>
                        <a:effectLst/>
                      </wps:spPr>
                      <wps:txbx>
                        <w:txbxContent>
                          <w:p w:rsidR="00B43809" w:rsidRPr="00417280" w:rsidRDefault="00B43809" w:rsidP="00B43809">
                            <w:pPr>
                              <w:spacing w:line="276" w:lineRule="auto"/>
                              <w:rPr>
                                <w:b/>
                                <w:color w:val="2E74B5" w:themeColor="accent1" w:themeShade="BF"/>
                                <w:sz w:val="28"/>
                              </w:rPr>
                            </w:pPr>
                            <w:r w:rsidRPr="00417280">
                              <w:rPr>
                                <w:b/>
                                <w:color w:val="2E74B5" w:themeColor="accent1" w:themeShade="BF"/>
                                <w:sz w:val="28"/>
                              </w:rPr>
                              <w:t xml:space="preserve">Notes and Observations:  </w:t>
                            </w:r>
                          </w:p>
                          <w:p w:rsidR="00883E21" w:rsidRPr="00883E21" w:rsidRDefault="00883E21" w:rsidP="00883E21">
                            <w:pPr>
                              <w:pStyle w:val="ListParagraph"/>
                              <w:numPr>
                                <w:ilvl w:val="0"/>
                                <w:numId w:val="1"/>
                              </w:numPr>
                              <w:rPr>
                                <w:color w:val="2E74B5" w:themeColor="accent1" w:themeShade="BF"/>
                                <w:sz w:val="28"/>
                              </w:rPr>
                            </w:pPr>
                            <w:r>
                              <w:rPr>
                                <w:color w:val="2E74B5" w:themeColor="accent1" w:themeShade="BF"/>
                                <w:sz w:val="28"/>
                              </w:rPr>
                              <w:t xml:space="preserve">Numbers 18:6-7 gives a wonderful description of roles within the sanctuary system.  </w:t>
                            </w:r>
                            <w:bookmarkStart w:id="0" w:name="_GoBack"/>
                            <w:bookmarkEnd w:id="0"/>
                            <w:r>
                              <w:rPr>
                                <w:color w:val="2E74B5" w:themeColor="accent1" w:themeShade="BF"/>
                                <w:sz w:val="28"/>
                              </w:rPr>
                              <w:t xml:space="preserve">The Levites were “given as a gift” to do God’s work in service to the church.  The priest’s office also was a gift.  Both groups have important (though distinct) roles within the church.  The Levites were not to seek the office of the priesthood, as </w:t>
                            </w:r>
                            <w:proofErr w:type="spellStart"/>
                            <w:r>
                              <w:rPr>
                                <w:color w:val="2E74B5" w:themeColor="accent1" w:themeShade="BF"/>
                                <w:sz w:val="28"/>
                              </w:rPr>
                              <w:t>Korah</w:t>
                            </w:r>
                            <w:proofErr w:type="spellEnd"/>
                            <w:r>
                              <w:rPr>
                                <w:color w:val="2E74B5" w:themeColor="accent1" w:themeShade="BF"/>
                                <w:sz w:val="28"/>
                              </w:rPr>
                              <w:t xml:space="preserve"> had done, but to assist the priest in the ministry of the Lord.  But the priests were not to look down upon them, but always bear in mind that they were to be regarded and treated as “brethren.”  We have such similar issues in the church today!  </w:t>
                            </w:r>
                          </w:p>
                          <w:p w:rsidR="00B43809" w:rsidRDefault="00B43809" w:rsidP="00B438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6F97DC" id="_x0000_t202" coordsize="21600,21600" o:spt="202" path="m,l,21600r21600,l21600,xe">
                <v:stroke joinstyle="miter"/>
                <v:path gradientshapeok="t" o:connecttype="rect"/>
              </v:shapetype>
              <v:shape id="Text Box 1" o:spid="_x0000_s1026" type="#_x0000_t202" style="position:absolute;margin-left:-11pt;margin-top:245.05pt;width:555.85pt;height:167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" fillcolor="window" strokecolor="#2e75b6" strokeweight="2.25pt">
                <v:textbox>
                  <w:txbxContent>
                    <w:p w:rsidR="00B43809" w:rsidRPr="00417280" w:rsidRDefault="00B43809" w:rsidP="00B43809">
                      <w:pPr>
                        <w:spacing w:line="276" w:lineRule="auto"/>
                        <w:rPr>
                          <w:b/>
                          <w:color w:val="2E74B5" w:themeColor="accent1" w:themeShade="BF"/>
                          <w:sz w:val="28"/>
                        </w:rPr>
                      </w:pPr>
                      <w:r w:rsidRPr="00417280">
                        <w:rPr>
                          <w:b/>
                          <w:color w:val="2E74B5" w:themeColor="accent1" w:themeShade="BF"/>
                          <w:sz w:val="28"/>
                        </w:rPr>
                        <w:t xml:space="preserve">Notes and Observations:  </w:t>
                      </w:r>
                    </w:p>
                    <w:p w:rsidR="00883E21" w:rsidRPr="00883E21" w:rsidRDefault="00883E21" w:rsidP="00883E21">
                      <w:pPr>
                        <w:pStyle w:val="ListParagraph"/>
                        <w:numPr>
                          <w:ilvl w:val="0"/>
                          <w:numId w:val="1"/>
                        </w:numPr>
                        <w:rPr>
                          <w:color w:val="2E74B5" w:themeColor="accent1" w:themeShade="BF"/>
                          <w:sz w:val="28"/>
                        </w:rPr>
                      </w:pPr>
                      <w:r>
                        <w:rPr>
                          <w:color w:val="2E74B5" w:themeColor="accent1" w:themeShade="BF"/>
                          <w:sz w:val="28"/>
                        </w:rPr>
                        <w:t xml:space="preserve">Numbers 18:6-7 gives a wonderful description of roles within the sanctuary system.  </w:t>
                      </w:r>
                      <w:bookmarkStart w:id="1" w:name="_GoBack"/>
                      <w:bookmarkEnd w:id="1"/>
                      <w:r>
                        <w:rPr>
                          <w:color w:val="2E74B5" w:themeColor="accent1" w:themeShade="BF"/>
                          <w:sz w:val="28"/>
                        </w:rPr>
                        <w:t xml:space="preserve">The Levites were “given as a gift” to do God’s work in service to the church.  The priest’s office also was a gift.  Both groups have important (though distinct) roles within the church.  The Levites were not to seek the office of the priesthood, as </w:t>
                      </w:r>
                      <w:proofErr w:type="spellStart"/>
                      <w:r>
                        <w:rPr>
                          <w:color w:val="2E74B5" w:themeColor="accent1" w:themeShade="BF"/>
                          <w:sz w:val="28"/>
                        </w:rPr>
                        <w:t>Korah</w:t>
                      </w:r>
                      <w:proofErr w:type="spellEnd"/>
                      <w:r>
                        <w:rPr>
                          <w:color w:val="2E74B5" w:themeColor="accent1" w:themeShade="BF"/>
                          <w:sz w:val="28"/>
                        </w:rPr>
                        <w:t xml:space="preserve"> had done, but to assist the priest in the ministry of the Lord.  But the priests were not to look down upon them, but always bear in mind that they were to be regarded and treated as “brethren.”  We have such similar issues in the church today!  </w:t>
                      </w:r>
                    </w:p>
                    <w:p w:rsidR="00B43809" w:rsidRDefault="00B43809" w:rsidP="00B43809"/>
                  </w:txbxContent>
                </v:textbox>
                <w10:wrap type="tight"/>
              </v:shape>
            </w:pict>
          </mc:Fallback>
        </mc:AlternateContent>
      </w:r>
      <w:r w:rsidR="00B43809">
        <w:rPr>
          <w:sz w:val="28"/>
        </w:rPr>
        <w:t xml:space="preserve">things of the sanctuary, which they were not to touch.  </w:t>
      </w:r>
    </w:p>
    <w:p w:rsidR="00B43809" w:rsidRDefault="00B43809" w:rsidP="007879C6">
      <w:pPr>
        <w:spacing w:line="276" w:lineRule="auto"/>
        <w:rPr>
          <w:sz w:val="28"/>
        </w:rPr>
      </w:pPr>
    </w:p>
    <w:p w:rsidR="004768E9" w:rsidRPr="008016A8" w:rsidRDefault="004768E9" w:rsidP="007879C6">
      <w:pPr>
        <w:spacing w:line="276" w:lineRule="auto"/>
        <w:rPr>
          <w:b/>
          <w:sz w:val="28"/>
        </w:rPr>
      </w:pPr>
    </w:p>
    <w:sectPr w:rsidR="004768E9" w:rsidRPr="008016A8"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462330" w:rsidP="00417280">
    <w:pPr>
      <w:pStyle w:val="Header"/>
      <w:jc w:val="center"/>
    </w:pPr>
    <w:r>
      <w:t>Wilderness Wanderings 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144E0"/>
    <w:multiLevelType w:val="hybridMultilevel"/>
    <w:tmpl w:val="F5D6D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A2164"/>
    <w:rsid w:val="001B192D"/>
    <w:rsid w:val="001C61E0"/>
    <w:rsid w:val="001D2D4F"/>
    <w:rsid w:val="00200565"/>
    <w:rsid w:val="00256468"/>
    <w:rsid w:val="003711C4"/>
    <w:rsid w:val="003C4A44"/>
    <w:rsid w:val="00417280"/>
    <w:rsid w:val="00436A3F"/>
    <w:rsid w:val="00462330"/>
    <w:rsid w:val="004768E9"/>
    <w:rsid w:val="004945B1"/>
    <w:rsid w:val="006326AA"/>
    <w:rsid w:val="006800E6"/>
    <w:rsid w:val="006D2326"/>
    <w:rsid w:val="006E0D0F"/>
    <w:rsid w:val="006E2418"/>
    <w:rsid w:val="0076124B"/>
    <w:rsid w:val="0076624F"/>
    <w:rsid w:val="00773159"/>
    <w:rsid w:val="007879C6"/>
    <w:rsid w:val="0080065F"/>
    <w:rsid w:val="00800FF8"/>
    <w:rsid w:val="008016A8"/>
    <w:rsid w:val="00883E21"/>
    <w:rsid w:val="00893C51"/>
    <w:rsid w:val="008E5FBD"/>
    <w:rsid w:val="009039CC"/>
    <w:rsid w:val="009C3A2A"/>
    <w:rsid w:val="009F6C04"/>
    <w:rsid w:val="00AC15AD"/>
    <w:rsid w:val="00AD7EA5"/>
    <w:rsid w:val="00B31FB0"/>
    <w:rsid w:val="00B43809"/>
    <w:rsid w:val="00BF3916"/>
    <w:rsid w:val="00C6600F"/>
    <w:rsid w:val="00CA036F"/>
    <w:rsid w:val="00D257FB"/>
    <w:rsid w:val="00D708AC"/>
    <w:rsid w:val="00D94FE2"/>
    <w:rsid w:val="00DB1115"/>
    <w:rsid w:val="00DF1AFB"/>
    <w:rsid w:val="00F422E3"/>
    <w:rsid w:val="00F72695"/>
    <w:rsid w:val="00F8763D"/>
    <w:rsid w:val="00FA76DD"/>
    <w:rsid w:val="00FD2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B43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206BE-5510-4568-8C23-1DC3C2839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2020-07-15T22:12:00Z</cp:lastPrinted>
  <dcterms:created xsi:type="dcterms:W3CDTF">2020-08-26T13:26:00Z</dcterms:created>
  <dcterms:modified xsi:type="dcterms:W3CDTF">2020-08-26T15:31:00Z</dcterms:modified>
</cp:coreProperties>
</file>