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FF8" w:rsidRPr="003711C4" w:rsidRDefault="003711C4" w:rsidP="003711C4">
      <w:pPr>
        <w:jc w:val="center"/>
        <w:rPr>
          <w:b/>
          <w:sz w:val="32"/>
        </w:rPr>
      </w:pPr>
      <w:r w:rsidRPr="003711C4">
        <w:rPr>
          <w:b/>
          <w:sz w:val="32"/>
        </w:rPr>
        <w:t xml:space="preserve">The Israelites in the Wilderness Discussion </w:t>
      </w:r>
      <w:r w:rsidR="001B192D">
        <w:rPr>
          <w:b/>
          <w:sz w:val="32"/>
        </w:rPr>
        <w:t xml:space="preserve"># </w:t>
      </w:r>
      <w:r w:rsidR="00DF45C9">
        <w:rPr>
          <w:b/>
          <w:sz w:val="32"/>
        </w:rPr>
        <w:t>08—Prepare for 9</w:t>
      </w:r>
      <w:r w:rsidR="00462330">
        <w:rPr>
          <w:b/>
          <w:sz w:val="32"/>
        </w:rPr>
        <w:t>/</w:t>
      </w:r>
      <w:r w:rsidR="0054118F">
        <w:rPr>
          <w:b/>
          <w:sz w:val="32"/>
        </w:rPr>
        <w:t>16</w:t>
      </w:r>
      <w:r w:rsidR="001B192D">
        <w:rPr>
          <w:b/>
          <w:sz w:val="32"/>
        </w:rPr>
        <w:t>/20</w:t>
      </w:r>
    </w:p>
    <w:p w:rsidR="003711C4" w:rsidRDefault="003711C4" w:rsidP="003711C4">
      <w:pPr>
        <w:jc w:val="center"/>
        <w:rPr>
          <w:sz w:val="32"/>
        </w:rPr>
      </w:pPr>
      <w:r>
        <w:rPr>
          <w:sz w:val="32"/>
        </w:rPr>
        <w:t xml:space="preserve">Read:  </w:t>
      </w:r>
      <w:r w:rsidR="00DF45C9">
        <w:rPr>
          <w:b/>
          <w:sz w:val="32"/>
          <w:u w:val="single"/>
        </w:rPr>
        <w:t>Numbers 20</w:t>
      </w:r>
    </w:p>
    <w:p w:rsidR="00AD7EA5" w:rsidRPr="009C3A2A" w:rsidRDefault="00DF45C9" w:rsidP="00AD7EA5">
      <w:pPr>
        <w:spacing w:line="276" w:lineRule="auto"/>
        <w:rPr>
          <w:b/>
          <w:sz w:val="28"/>
        </w:rPr>
      </w:pPr>
      <w:r>
        <w:rPr>
          <w:b/>
          <w:sz w:val="28"/>
        </w:rPr>
        <w:t xml:space="preserve">When do the events of this chapter take place?  </w:t>
      </w:r>
      <w:r w:rsidR="00EF267A">
        <w:rPr>
          <w:b/>
          <w:sz w:val="28"/>
        </w:rPr>
        <w:t>Explain your reasoning.</w:t>
      </w:r>
      <w:r>
        <w:rPr>
          <w:b/>
          <w:sz w:val="28"/>
        </w:rPr>
        <w:t xml:space="preserve">  Compare Numbers 27:14; 33:36-38; Patriarchs and Prophets </w:t>
      </w:r>
      <w:proofErr w:type="gramStart"/>
      <w:r w:rsidR="00EF267A">
        <w:rPr>
          <w:b/>
          <w:sz w:val="28"/>
        </w:rPr>
        <w:t>pg</w:t>
      </w:r>
      <w:proofErr w:type="gramEnd"/>
      <w:r w:rsidR="00EF267A">
        <w:rPr>
          <w:b/>
          <w:sz w:val="28"/>
        </w:rPr>
        <w:t xml:space="preserve">. 410.  </w:t>
      </w:r>
    </w:p>
    <w:p w:rsidR="00417280" w:rsidRDefault="00CA715D" w:rsidP="009C3A2A">
      <w:pPr>
        <w:spacing w:line="276" w:lineRule="auto"/>
        <w:rPr>
          <w:sz w:val="28"/>
        </w:rPr>
      </w:pPr>
      <w:r>
        <w:rPr>
          <w:sz w:val="28"/>
        </w:rPr>
        <w:t>This was probably the 40</w:t>
      </w:r>
      <w:r w:rsidRPr="00CA715D">
        <w:rPr>
          <w:sz w:val="28"/>
          <w:vertAlign w:val="superscript"/>
        </w:rPr>
        <w:t>th</w:t>
      </w:r>
      <w:r>
        <w:rPr>
          <w:sz w:val="28"/>
        </w:rPr>
        <w:t xml:space="preserve"> year of the wilderness wanderings!  (It was in the first month, Abib, when the grass was still green.)  Patriarchs and Prophets pg. 410 states that, “</w:t>
      </w:r>
      <w:r w:rsidRPr="00CA715D">
        <w:rPr>
          <w:sz w:val="28"/>
        </w:rPr>
        <w:t>From Kadesh the children of Israel had turned back into the wilderness; and the period of their desert sojourn being ended, they came, "even the whole congregation, into the desert of Zin in the first month: and the people abode in Kadesh." Numbers 20:1.</w:t>
      </w:r>
      <w:r>
        <w:rPr>
          <w:sz w:val="28"/>
        </w:rPr>
        <w:t xml:space="preserve">”  This fairly clearly identifies this story as happening very close to the end of the 40-year time of wandering in the desert.  </w:t>
      </w:r>
    </w:p>
    <w:p w:rsidR="00AD7EA5" w:rsidRPr="009C3A2A" w:rsidRDefault="00EF267A" w:rsidP="00AD7EA5">
      <w:pPr>
        <w:spacing w:line="276" w:lineRule="auto"/>
        <w:rPr>
          <w:b/>
          <w:sz w:val="28"/>
        </w:rPr>
      </w:pPr>
      <w:r>
        <w:rPr>
          <w:b/>
          <w:sz w:val="28"/>
        </w:rPr>
        <w:t xml:space="preserve">In verses 2-6, what is the problem?  What do the people do about it?  Why?  </w:t>
      </w:r>
    </w:p>
    <w:p w:rsidR="00417280" w:rsidRDefault="00526732" w:rsidP="009C3A2A">
      <w:pPr>
        <w:spacing w:line="276" w:lineRule="auto"/>
        <w:rPr>
          <w:sz w:val="28"/>
        </w:rPr>
      </w:pPr>
      <w:r>
        <w:rPr>
          <w:sz w:val="28"/>
        </w:rPr>
        <w:t xml:space="preserve">There was “no water for the congregation.”  The people complain to Moses and Aaron, sounding much like their fathers just after they left Egypt.  They accuse Moses in particular of having condemned them to a slow and torturous death by thirst.  They apparently have fond remembrance of living in Egypt, and they object to the “evil place” in which they find themselves.  There is also (again) the suggestion that Moses has been deceitful in telling the people that they are traveling to a good land.  They complain that the land in which they find themselves is not a good land at all, and “neither is there any water to drink.”  The attitude of the people seems to have become threatening, since Moses and Aaron retreated to the sanctuary for counsel and protection.  It seems that complaints and threats were the only ways that the Israelites knew how to respond to a problem!  </w:t>
      </w:r>
    </w:p>
    <w:p w:rsidR="009C3A2A" w:rsidRPr="009C3A2A" w:rsidRDefault="00EF267A" w:rsidP="009C3A2A">
      <w:pPr>
        <w:spacing w:line="276" w:lineRule="auto"/>
        <w:rPr>
          <w:b/>
          <w:sz w:val="28"/>
        </w:rPr>
      </w:pPr>
      <w:r>
        <w:rPr>
          <w:b/>
          <w:sz w:val="28"/>
        </w:rPr>
        <w:t xml:space="preserve">What are God’s instructions in verses 7-8?  What does Moses do in response to these instructions?  </w:t>
      </w:r>
    </w:p>
    <w:p w:rsidR="009C3A2A" w:rsidRDefault="00526732" w:rsidP="009C3A2A">
      <w:pPr>
        <w:spacing w:line="276" w:lineRule="auto"/>
        <w:rPr>
          <w:sz w:val="28"/>
        </w:rPr>
      </w:pPr>
      <w:r>
        <w:rPr>
          <w:sz w:val="28"/>
        </w:rPr>
        <w:t xml:space="preserve">God’s instructions were for Moses to take the rod, gather the people, and with Aaron by his side to speak to the rock where the people could witness it.  Moses took his rod, gathered the people, and hit the rock twice.  Despite the circumstances, God still worked a miracle and water came out of the rock.  It poured out of the rock in such abundance that there was plentiful water for the people and their animals.  But Moses had not obeyed God’s instructions!  And his attitude left something to be desired as well.  In all fairness, it must have been very frustrating to hear the same accusations and complaints—in the same places and for the same reasons—from two generations of people.  Although it may have sounded that way, the people’s complaints and accusations weren’t really directed against Moses.  They were truly addressed to God.  Unfortunately, it’s easy to take such things personally!  </w:t>
      </w:r>
    </w:p>
    <w:p w:rsidR="00417280" w:rsidRPr="009C3A2A" w:rsidRDefault="00EF267A" w:rsidP="00417280">
      <w:pPr>
        <w:spacing w:line="276" w:lineRule="auto"/>
        <w:rPr>
          <w:b/>
          <w:sz w:val="28"/>
        </w:rPr>
      </w:pPr>
      <w:r>
        <w:rPr>
          <w:b/>
          <w:sz w:val="28"/>
        </w:rPr>
        <w:lastRenderedPageBreak/>
        <w:t xml:space="preserve">What did Moses do wrong?  </w:t>
      </w:r>
    </w:p>
    <w:p w:rsidR="00484138" w:rsidRDefault="00484138" w:rsidP="00417280">
      <w:pPr>
        <w:spacing w:line="276" w:lineRule="auto"/>
        <w:rPr>
          <w:sz w:val="28"/>
        </w:rPr>
      </w:pPr>
      <w:r>
        <w:rPr>
          <w:sz w:val="28"/>
        </w:rPr>
        <w:t xml:space="preserve">God says that Moses didn’t believe Him.  Having faced just such a situation before, Moses fell back on something that he knew had worked before—hitting the rock with the rod.  But that wasn’t the intention on this occasion.  God told Moses merely to speak to the rock.  But apparently Moses failed to trust that this would work.  Also, Moses’ statement to the people, “must we fetch you water out of this rock,” carries the implication that he and Aaron were responsible for the miracle of water from stone.  Surely Moses didn’t really mean it this way, but he spoke incautiously.  He had forgotten the patience of God in His dealings with the people, which should have been (and mostly was) reflected in his own attitude.  In this case, Moses spoke and acted as if the murmurings were against himself.  </w:t>
      </w:r>
    </w:p>
    <w:p w:rsidR="00417280" w:rsidRPr="009C3A2A" w:rsidRDefault="009C7561" w:rsidP="00417280">
      <w:pPr>
        <w:spacing w:line="276" w:lineRule="auto"/>
        <w:rPr>
          <w:b/>
          <w:sz w:val="28"/>
        </w:rPr>
      </w:pPr>
      <w:r>
        <w:rPr>
          <w:b/>
          <w:sz w:val="28"/>
        </w:rPr>
        <w:t xml:space="preserve">Why are the Israelites so circumspect with the aggressive </w:t>
      </w:r>
      <w:proofErr w:type="spellStart"/>
      <w:r>
        <w:rPr>
          <w:b/>
          <w:sz w:val="28"/>
        </w:rPr>
        <w:t>Edomites</w:t>
      </w:r>
      <w:proofErr w:type="spellEnd"/>
      <w:r>
        <w:rPr>
          <w:b/>
          <w:sz w:val="28"/>
        </w:rPr>
        <w:t xml:space="preserve"> in verses 14-21?  Why is the king of Edom so difficult?  Compare Deuteronomy 2:1-6.  </w:t>
      </w:r>
    </w:p>
    <w:p w:rsidR="00CF3D39" w:rsidRDefault="00CF3D39" w:rsidP="00417280">
      <w:pPr>
        <w:spacing w:line="276" w:lineRule="auto"/>
        <w:rPr>
          <w:sz w:val="28"/>
        </w:rPr>
      </w:pPr>
      <w:r>
        <w:rPr>
          <w:sz w:val="28"/>
        </w:rPr>
        <w:t xml:space="preserve">God instructs them firmly in Deuteronomy 2:4-5 that they are not to interfere with the “children of Esau,” that is, the </w:t>
      </w:r>
      <w:proofErr w:type="spellStart"/>
      <w:r>
        <w:rPr>
          <w:sz w:val="28"/>
        </w:rPr>
        <w:t>Edomites</w:t>
      </w:r>
      <w:proofErr w:type="spellEnd"/>
      <w:r>
        <w:rPr>
          <w:sz w:val="28"/>
        </w:rPr>
        <w:t xml:space="preserve">, on this occasion.  God had promised that particular territory to Esau, and He would not grant any of it to the Israelites.  The inhabitants of Edom were aware of the history of the Israelites—and of God’s backing of the Israelites.  They were nervous and apprehensive, and might as a result make a sudden attack upon Israel.    On the other hand, the Israelite’s awareness of the </w:t>
      </w:r>
      <w:proofErr w:type="spellStart"/>
      <w:r>
        <w:rPr>
          <w:sz w:val="28"/>
        </w:rPr>
        <w:t>Edomites</w:t>
      </w:r>
      <w:proofErr w:type="spellEnd"/>
      <w:r>
        <w:rPr>
          <w:sz w:val="28"/>
        </w:rPr>
        <w:t xml:space="preserve">’ apprehension might lead Israel to take advantage of that fear and invade the country.  Wanting to avoid either of these problems, Moses is extremely gentle with the </w:t>
      </w:r>
      <w:proofErr w:type="spellStart"/>
      <w:r>
        <w:rPr>
          <w:sz w:val="28"/>
        </w:rPr>
        <w:t>Edomites</w:t>
      </w:r>
      <w:proofErr w:type="spellEnd"/>
      <w:r>
        <w:rPr>
          <w:sz w:val="28"/>
        </w:rPr>
        <w:t xml:space="preserve">.  But the </w:t>
      </w:r>
      <w:proofErr w:type="spellStart"/>
      <w:r>
        <w:rPr>
          <w:sz w:val="28"/>
        </w:rPr>
        <w:t>Edomites</w:t>
      </w:r>
      <w:proofErr w:type="spellEnd"/>
      <w:r>
        <w:rPr>
          <w:sz w:val="28"/>
        </w:rPr>
        <w:t xml:space="preserve"> were too nervous to allow the Israelites passage, mustering a show of force to prevent the Israelites from entering their territory.  They did, however, consent to sell provisions to the Israelites, as God directed.  </w:t>
      </w:r>
    </w:p>
    <w:p w:rsidR="007879C6" w:rsidRDefault="009C7561" w:rsidP="007879C6">
      <w:pPr>
        <w:spacing w:line="276" w:lineRule="auto"/>
        <w:rPr>
          <w:b/>
          <w:sz w:val="28"/>
        </w:rPr>
      </w:pPr>
      <w:r>
        <w:rPr>
          <w:b/>
          <w:sz w:val="28"/>
        </w:rPr>
        <w:t xml:space="preserve">Why is Aaron “stripped of his garments” before his death?  </w:t>
      </w:r>
    </w:p>
    <w:p w:rsidR="00CF3D39" w:rsidRDefault="00CF3D39" w:rsidP="007879C6">
      <w:pPr>
        <w:spacing w:line="276" w:lineRule="auto"/>
        <w:rPr>
          <w:sz w:val="28"/>
        </w:rPr>
      </w:pPr>
      <w:r>
        <w:rPr>
          <w:sz w:val="28"/>
        </w:rPr>
        <w:t xml:space="preserve">Aaron was probably NOT “stripped of his garments” in the usual sense.  Instead, this refers to a ceremonial passing down of the special garments of the High Priest from Aaron to his successor in office, his son </w:t>
      </w:r>
      <w:proofErr w:type="spellStart"/>
      <w:r>
        <w:rPr>
          <w:sz w:val="28"/>
        </w:rPr>
        <w:t>Eleazar</w:t>
      </w:r>
      <w:proofErr w:type="spellEnd"/>
      <w:r>
        <w:rPr>
          <w:sz w:val="28"/>
        </w:rPr>
        <w:t xml:space="preserve">.  The transference of the garments was symbolic of the transfer of the high priestly office, which was to continue despite the death of the current office holder.  The ceremonial transference was to take place in front of all the people, so that there might be neither mystery nor question regarding the legality of the succession.  Moses himself apparently conducted the transfer.  It took place on the mountain in sight of all the people, at God’s direction.  And then, as God had warned would happen, Aaron “died there in the top of the mount” and Moses and </w:t>
      </w:r>
      <w:proofErr w:type="spellStart"/>
      <w:r>
        <w:rPr>
          <w:sz w:val="28"/>
        </w:rPr>
        <w:t>Eleazar</w:t>
      </w:r>
      <w:proofErr w:type="spellEnd"/>
      <w:r>
        <w:rPr>
          <w:sz w:val="28"/>
        </w:rPr>
        <w:t xml:space="preserve"> came down.  </w:t>
      </w:r>
    </w:p>
    <w:p w:rsidR="00CF3D39" w:rsidRDefault="00CF3D39" w:rsidP="007879C6">
      <w:pPr>
        <w:spacing w:line="276" w:lineRule="auto"/>
        <w:rPr>
          <w:sz w:val="28"/>
        </w:rPr>
      </w:pPr>
    </w:p>
    <w:p w:rsidR="00CF3D39" w:rsidRPr="00CF3D39" w:rsidRDefault="00CF3D39" w:rsidP="007879C6">
      <w:pPr>
        <w:spacing w:line="276" w:lineRule="auto"/>
        <w:rPr>
          <w:sz w:val="28"/>
        </w:rPr>
      </w:pPr>
      <w:r>
        <w:rPr>
          <w:noProof/>
          <w:sz w:val="28"/>
        </w:rPr>
        <w:lastRenderedPageBreak/>
        <mc:AlternateContent>
          <mc:Choice Requires="wps">
            <w:drawing>
              <wp:anchor distT="0" distB="0" distL="114300" distR="114300" simplePos="0" relativeHeight="251659264" behindDoc="1" locked="0" layoutInCell="1" allowOverlap="1" wp14:anchorId="47665E9C" wp14:editId="3D4874BE">
                <wp:simplePos x="0" y="0"/>
                <wp:positionH relativeFrom="column">
                  <wp:posOffset>-2540</wp:posOffset>
                </wp:positionH>
                <wp:positionV relativeFrom="paragraph">
                  <wp:posOffset>367030</wp:posOffset>
                </wp:positionV>
                <wp:extent cx="7059295" cy="3075940"/>
                <wp:effectExtent l="19050" t="19050" r="27305" b="10160"/>
                <wp:wrapTight wrapText="bothSides">
                  <wp:wrapPolygon edited="0">
                    <wp:start x="-58" y="-134"/>
                    <wp:lineTo x="-58" y="21538"/>
                    <wp:lineTo x="21625" y="21538"/>
                    <wp:lineTo x="21625" y="-134"/>
                    <wp:lineTo x="-58" y="-134"/>
                  </wp:wrapPolygon>
                </wp:wrapTight>
                <wp:docPr id="1" name="Text Box 1"/>
                <wp:cNvGraphicFramePr/>
                <a:graphic xmlns:a="http://schemas.openxmlformats.org/drawingml/2006/main">
                  <a:graphicData uri="http://schemas.microsoft.com/office/word/2010/wordprocessingShape">
                    <wps:wsp>
                      <wps:cNvSpPr txBox="1"/>
                      <wps:spPr>
                        <a:xfrm>
                          <a:off x="0" y="0"/>
                          <a:ext cx="7059295" cy="3075940"/>
                        </a:xfrm>
                        <a:prstGeom prst="rect">
                          <a:avLst/>
                        </a:prstGeom>
                        <a:solidFill>
                          <a:sysClr val="window" lastClr="FFFFFF"/>
                        </a:solidFill>
                        <a:ln w="28575">
                          <a:solidFill>
                            <a:srgbClr val="5B9BD5">
                              <a:lumMod val="75000"/>
                            </a:srgbClr>
                          </a:solidFill>
                        </a:ln>
                        <a:effectLst/>
                      </wps:spPr>
                      <wps:txbx>
                        <w:txbxContent>
                          <w:p w:rsidR="00CF3D39" w:rsidRPr="00417280" w:rsidRDefault="00CF3D39" w:rsidP="00CF3D39">
                            <w:pPr>
                              <w:spacing w:line="276" w:lineRule="auto"/>
                              <w:rPr>
                                <w:b/>
                                <w:color w:val="2E74B5" w:themeColor="accent1" w:themeShade="BF"/>
                                <w:sz w:val="28"/>
                              </w:rPr>
                            </w:pPr>
                            <w:r w:rsidRPr="00417280">
                              <w:rPr>
                                <w:b/>
                                <w:color w:val="2E74B5" w:themeColor="accent1" w:themeShade="BF"/>
                                <w:sz w:val="28"/>
                              </w:rPr>
                              <w:t xml:space="preserve">Notes and Observations:  </w:t>
                            </w:r>
                          </w:p>
                          <w:p w:rsidR="0028524D" w:rsidRDefault="00CF3D39" w:rsidP="00CF3D39">
                            <w:pPr>
                              <w:pStyle w:val="ListParagraph"/>
                              <w:numPr>
                                <w:ilvl w:val="0"/>
                                <w:numId w:val="1"/>
                              </w:numPr>
                              <w:rPr>
                                <w:color w:val="2E74B5" w:themeColor="accent1" w:themeShade="BF"/>
                                <w:sz w:val="28"/>
                              </w:rPr>
                            </w:pPr>
                            <w:r>
                              <w:rPr>
                                <w:color w:val="2E74B5" w:themeColor="accent1" w:themeShade="BF"/>
                                <w:sz w:val="28"/>
                              </w:rPr>
                              <w:t xml:space="preserve">No details are given regarding Miriam’s death, either as to cause or date.  She was probably 132 years of age.  Aaron, who died about four months later, was 123.  The death of Moses, </w:t>
                            </w:r>
                            <w:r w:rsidR="0028524D">
                              <w:rPr>
                                <w:color w:val="2E74B5" w:themeColor="accent1" w:themeShade="BF"/>
                                <w:sz w:val="28"/>
                              </w:rPr>
                              <w:t xml:space="preserve">at the age of 120, </w:t>
                            </w:r>
                            <w:r>
                              <w:rPr>
                                <w:color w:val="2E74B5" w:themeColor="accent1" w:themeShade="BF"/>
                                <w:sz w:val="28"/>
                              </w:rPr>
                              <w:t>occurs about eleven months after Miriam’</w:t>
                            </w:r>
                            <w:r w:rsidR="0028524D">
                              <w:rPr>
                                <w:color w:val="2E74B5" w:themeColor="accent1" w:themeShade="BF"/>
                                <w:sz w:val="28"/>
                              </w:rPr>
                              <w:t xml:space="preserve">s death.  She was the oldest of the three siblings.  </w:t>
                            </w:r>
                          </w:p>
                          <w:p w:rsidR="00CF3D39" w:rsidRDefault="0028524D" w:rsidP="0028524D">
                            <w:pPr>
                              <w:pStyle w:val="ListParagraph"/>
                              <w:numPr>
                                <w:ilvl w:val="0"/>
                                <w:numId w:val="1"/>
                              </w:numPr>
                              <w:rPr>
                                <w:color w:val="2E74B5" w:themeColor="accent1" w:themeShade="BF"/>
                                <w:sz w:val="28"/>
                              </w:rPr>
                            </w:pPr>
                            <w:r w:rsidRPr="0028524D">
                              <w:rPr>
                                <w:color w:val="2E74B5" w:themeColor="accent1" w:themeShade="BF"/>
                                <w:sz w:val="28"/>
                              </w:rPr>
                              <w:t xml:space="preserve">There is no record of an appointed period of mourning for Miriam, </w:t>
                            </w:r>
                            <w:r>
                              <w:rPr>
                                <w:color w:val="2E74B5" w:themeColor="accent1" w:themeShade="BF"/>
                                <w:sz w:val="28"/>
                              </w:rPr>
                              <w:t xml:space="preserve">as there is for Aaron, </w:t>
                            </w:r>
                            <w:r w:rsidRPr="0028524D">
                              <w:rPr>
                                <w:color w:val="2E74B5" w:themeColor="accent1" w:themeShade="BF"/>
                                <w:sz w:val="28"/>
                              </w:rPr>
                              <w:t xml:space="preserve">but the Israelites remained in Kadesh for some months.  </w:t>
                            </w:r>
                          </w:p>
                          <w:p w:rsidR="002077F5" w:rsidRPr="0028524D" w:rsidRDefault="002077F5" w:rsidP="0028524D">
                            <w:pPr>
                              <w:pStyle w:val="ListParagraph"/>
                              <w:numPr>
                                <w:ilvl w:val="0"/>
                                <w:numId w:val="1"/>
                              </w:numPr>
                              <w:rPr>
                                <w:color w:val="2E74B5" w:themeColor="accent1" w:themeShade="BF"/>
                                <w:sz w:val="28"/>
                              </w:rPr>
                            </w:pPr>
                            <w:r>
                              <w:rPr>
                                <w:color w:val="2E74B5" w:themeColor="accent1" w:themeShade="BF"/>
                                <w:sz w:val="28"/>
                              </w:rPr>
                              <w:t>“</w:t>
                            </w:r>
                            <w:proofErr w:type="spellStart"/>
                            <w:r>
                              <w:rPr>
                                <w:color w:val="2E74B5" w:themeColor="accent1" w:themeShade="BF"/>
                                <w:sz w:val="28"/>
                              </w:rPr>
                              <w:t>Meribah</w:t>
                            </w:r>
                            <w:proofErr w:type="spellEnd"/>
                            <w:r>
                              <w:rPr>
                                <w:color w:val="2E74B5" w:themeColor="accent1" w:themeShade="BF"/>
                                <w:sz w:val="28"/>
                              </w:rPr>
                              <w:t xml:space="preserve">” is formed from a Hebrew root meaning “to strive,” “to contend,” or “to quarrel noisily,” often with bodily violence.  </w:t>
                            </w:r>
                          </w:p>
                          <w:p w:rsidR="0028524D" w:rsidRPr="00CF3D39" w:rsidRDefault="0028524D" w:rsidP="00CF3D39">
                            <w:pPr>
                              <w:pStyle w:val="ListParagraph"/>
                              <w:numPr>
                                <w:ilvl w:val="0"/>
                                <w:numId w:val="1"/>
                              </w:numPr>
                              <w:rPr>
                                <w:color w:val="2E74B5" w:themeColor="accent1" w:themeShade="BF"/>
                                <w:sz w:val="28"/>
                              </w:rPr>
                            </w:pPr>
                            <w:r>
                              <w:rPr>
                                <w:color w:val="2E74B5" w:themeColor="accent1" w:themeShade="BF"/>
                                <w:sz w:val="28"/>
                              </w:rPr>
                              <w:t xml:space="preserve">The </w:t>
                            </w:r>
                            <w:proofErr w:type="spellStart"/>
                            <w:r>
                              <w:rPr>
                                <w:color w:val="2E74B5" w:themeColor="accent1" w:themeShade="BF"/>
                                <w:sz w:val="28"/>
                              </w:rPr>
                              <w:t>Edomites</w:t>
                            </w:r>
                            <w:proofErr w:type="spellEnd"/>
                            <w:r>
                              <w:rPr>
                                <w:color w:val="2E74B5" w:themeColor="accent1" w:themeShade="BF"/>
                                <w:sz w:val="28"/>
                              </w:rPr>
                              <w:t xml:space="preserve">, as descendants of Esau, were related to the Israelites.  Moses mentions this when he appeals for passage through their territory, but the </w:t>
                            </w:r>
                            <w:proofErr w:type="spellStart"/>
                            <w:r>
                              <w:rPr>
                                <w:color w:val="2E74B5" w:themeColor="accent1" w:themeShade="BF"/>
                                <w:sz w:val="28"/>
                              </w:rPr>
                              <w:t>Edomites</w:t>
                            </w:r>
                            <w:proofErr w:type="spellEnd"/>
                            <w:r>
                              <w:rPr>
                                <w:color w:val="2E74B5" w:themeColor="accent1" w:themeShade="BF"/>
                                <w:sz w:val="28"/>
                              </w:rPr>
                              <w:t xml:space="preserve"> do not acknowledge this relationship or respond positively</w:t>
                            </w:r>
                            <w:r w:rsidR="002077F5">
                              <w:rPr>
                                <w:color w:val="2E74B5" w:themeColor="accent1" w:themeShade="BF"/>
                                <w:sz w:val="28"/>
                              </w:rPr>
                              <w:t xml:space="preserve"> to Moses’ claim of kinship</w:t>
                            </w:r>
                            <w:bookmarkStart w:id="0" w:name="_GoBack"/>
                            <w:bookmarkEnd w:id="0"/>
                            <w:r>
                              <w:rPr>
                                <w:color w:val="2E74B5" w:themeColor="accent1" w:themeShade="BF"/>
                                <w:sz w:val="28"/>
                              </w:rPr>
                              <w:t xml:space="preserve">.   </w:t>
                            </w:r>
                          </w:p>
                          <w:p w:rsidR="00CF3D39" w:rsidRDefault="00CF3D39" w:rsidP="00CF3D3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665E9C" id="_x0000_t202" coordsize="21600,21600" o:spt="202" path="m,l,21600r21600,l21600,xe">
                <v:stroke joinstyle="miter"/>
                <v:path gradientshapeok="t" o:connecttype="rect"/>
              </v:shapetype>
              <v:shape id="Text Box 1" o:spid="_x0000_s1026" type="#_x0000_t202" style="position:absolute;margin-left:-.2pt;margin-top:28.9pt;width:555.85pt;height:242.2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" fillcolor="window" strokecolor="#2e75b6" strokeweight="2.25pt">
                <v:textbox>
                  <w:txbxContent>
                    <w:p w:rsidR="00CF3D39" w:rsidRPr="00417280" w:rsidRDefault="00CF3D39" w:rsidP="00CF3D39">
                      <w:pPr>
                        <w:spacing w:line="276" w:lineRule="auto"/>
                        <w:rPr>
                          <w:b/>
                          <w:color w:val="2E74B5" w:themeColor="accent1" w:themeShade="BF"/>
                          <w:sz w:val="28"/>
                        </w:rPr>
                      </w:pPr>
                      <w:r w:rsidRPr="00417280">
                        <w:rPr>
                          <w:b/>
                          <w:color w:val="2E74B5" w:themeColor="accent1" w:themeShade="BF"/>
                          <w:sz w:val="28"/>
                        </w:rPr>
                        <w:t xml:space="preserve">Notes and Observations:  </w:t>
                      </w:r>
                    </w:p>
                    <w:p w:rsidR="0028524D" w:rsidRDefault="00CF3D39" w:rsidP="00CF3D39">
                      <w:pPr>
                        <w:pStyle w:val="ListParagraph"/>
                        <w:numPr>
                          <w:ilvl w:val="0"/>
                          <w:numId w:val="1"/>
                        </w:numPr>
                        <w:rPr>
                          <w:color w:val="2E74B5" w:themeColor="accent1" w:themeShade="BF"/>
                          <w:sz w:val="28"/>
                        </w:rPr>
                      </w:pPr>
                      <w:r>
                        <w:rPr>
                          <w:color w:val="2E74B5" w:themeColor="accent1" w:themeShade="BF"/>
                          <w:sz w:val="28"/>
                        </w:rPr>
                        <w:t xml:space="preserve">No details are given regarding Miriam’s death, either as to cause or date.  She was probably 132 years of age.  Aaron, who died about four months later, was 123.  The death of Moses, </w:t>
                      </w:r>
                      <w:r w:rsidR="0028524D">
                        <w:rPr>
                          <w:color w:val="2E74B5" w:themeColor="accent1" w:themeShade="BF"/>
                          <w:sz w:val="28"/>
                        </w:rPr>
                        <w:t xml:space="preserve">at the age of 120, </w:t>
                      </w:r>
                      <w:r>
                        <w:rPr>
                          <w:color w:val="2E74B5" w:themeColor="accent1" w:themeShade="BF"/>
                          <w:sz w:val="28"/>
                        </w:rPr>
                        <w:t>occurs about eleven months after Miriam’</w:t>
                      </w:r>
                      <w:r w:rsidR="0028524D">
                        <w:rPr>
                          <w:color w:val="2E74B5" w:themeColor="accent1" w:themeShade="BF"/>
                          <w:sz w:val="28"/>
                        </w:rPr>
                        <w:t xml:space="preserve">s death.  She was the oldest of the three siblings.  </w:t>
                      </w:r>
                    </w:p>
                    <w:p w:rsidR="00CF3D39" w:rsidRDefault="0028524D" w:rsidP="0028524D">
                      <w:pPr>
                        <w:pStyle w:val="ListParagraph"/>
                        <w:numPr>
                          <w:ilvl w:val="0"/>
                          <w:numId w:val="1"/>
                        </w:numPr>
                        <w:rPr>
                          <w:color w:val="2E74B5" w:themeColor="accent1" w:themeShade="BF"/>
                          <w:sz w:val="28"/>
                        </w:rPr>
                      </w:pPr>
                      <w:r w:rsidRPr="0028524D">
                        <w:rPr>
                          <w:color w:val="2E74B5" w:themeColor="accent1" w:themeShade="BF"/>
                          <w:sz w:val="28"/>
                        </w:rPr>
                        <w:t xml:space="preserve">There is no record of an appointed period of mourning for Miriam, </w:t>
                      </w:r>
                      <w:r>
                        <w:rPr>
                          <w:color w:val="2E74B5" w:themeColor="accent1" w:themeShade="BF"/>
                          <w:sz w:val="28"/>
                        </w:rPr>
                        <w:t xml:space="preserve">as there is for Aaron, </w:t>
                      </w:r>
                      <w:r w:rsidRPr="0028524D">
                        <w:rPr>
                          <w:color w:val="2E74B5" w:themeColor="accent1" w:themeShade="BF"/>
                          <w:sz w:val="28"/>
                        </w:rPr>
                        <w:t xml:space="preserve">but the Israelites remained in Kadesh for some months.  </w:t>
                      </w:r>
                    </w:p>
                    <w:p w:rsidR="002077F5" w:rsidRPr="0028524D" w:rsidRDefault="002077F5" w:rsidP="0028524D">
                      <w:pPr>
                        <w:pStyle w:val="ListParagraph"/>
                        <w:numPr>
                          <w:ilvl w:val="0"/>
                          <w:numId w:val="1"/>
                        </w:numPr>
                        <w:rPr>
                          <w:color w:val="2E74B5" w:themeColor="accent1" w:themeShade="BF"/>
                          <w:sz w:val="28"/>
                        </w:rPr>
                      </w:pPr>
                      <w:r>
                        <w:rPr>
                          <w:color w:val="2E74B5" w:themeColor="accent1" w:themeShade="BF"/>
                          <w:sz w:val="28"/>
                        </w:rPr>
                        <w:t>“</w:t>
                      </w:r>
                      <w:proofErr w:type="spellStart"/>
                      <w:r>
                        <w:rPr>
                          <w:color w:val="2E74B5" w:themeColor="accent1" w:themeShade="BF"/>
                          <w:sz w:val="28"/>
                        </w:rPr>
                        <w:t>Meribah</w:t>
                      </w:r>
                      <w:proofErr w:type="spellEnd"/>
                      <w:r>
                        <w:rPr>
                          <w:color w:val="2E74B5" w:themeColor="accent1" w:themeShade="BF"/>
                          <w:sz w:val="28"/>
                        </w:rPr>
                        <w:t xml:space="preserve">” is formed from a Hebrew root meaning “to strive,” “to contend,” or “to quarrel noisily,” often with bodily violence.  </w:t>
                      </w:r>
                    </w:p>
                    <w:p w:rsidR="0028524D" w:rsidRPr="00CF3D39" w:rsidRDefault="0028524D" w:rsidP="00CF3D39">
                      <w:pPr>
                        <w:pStyle w:val="ListParagraph"/>
                        <w:numPr>
                          <w:ilvl w:val="0"/>
                          <w:numId w:val="1"/>
                        </w:numPr>
                        <w:rPr>
                          <w:color w:val="2E74B5" w:themeColor="accent1" w:themeShade="BF"/>
                          <w:sz w:val="28"/>
                        </w:rPr>
                      </w:pPr>
                      <w:r>
                        <w:rPr>
                          <w:color w:val="2E74B5" w:themeColor="accent1" w:themeShade="BF"/>
                          <w:sz w:val="28"/>
                        </w:rPr>
                        <w:t xml:space="preserve">The </w:t>
                      </w:r>
                      <w:proofErr w:type="spellStart"/>
                      <w:r>
                        <w:rPr>
                          <w:color w:val="2E74B5" w:themeColor="accent1" w:themeShade="BF"/>
                          <w:sz w:val="28"/>
                        </w:rPr>
                        <w:t>Edomites</w:t>
                      </w:r>
                      <w:proofErr w:type="spellEnd"/>
                      <w:r>
                        <w:rPr>
                          <w:color w:val="2E74B5" w:themeColor="accent1" w:themeShade="BF"/>
                          <w:sz w:val="28"/>
                        </w:rPr>
                        <w:t xml:space="preserve">, as descendants of Esau, were related to the Israelites.  Moses mentions this when he appeals for passage through their territory, but the </w:t>
                      </w:r>
                      <w:proofErr w:type="spellStart"/>
                      <w:r>
                        <w:rPr>
                          <w:color w:val="2E74B5" w:themeColor="accent1" w:themeShade="BF"/>
                          <w:sz w:val="28"/>
                        </w:rPr>
                        <w:t>Edomites</w:t>
                      </w:r>
                      <w:proofErr w:type="spellEnd"/>
                      <w:r>
                        <w:rPr>
                          <w:color w:val="2E74B5" w:themeColor="accent1" w:themeShade="BF"/>
                          <w:sz w:val="28"/>
                        </w:rPr>
                        <w:t xml:space="preserve"> do not acknowledge this relationship or respond positively</w:t>
                      </w:r>
                      <w:r w:rsidR="002077F5">
                        <w:rPr>
                          <w:color w:val="2E74B5" w:themeColor="accent1" w:themeShade="BF"/>
                          <w:sz w:val="28"/>
                        </w:rPr>
                        <w:t xml:space="preserve"> to Moses’ claim of kinship</w:t>
                      </w:r>
                      <w:bookmarkStart w:id="1" w:name="_GoBack"/>
                      <w:bookmarkEnd w:id="1"/>
                      <w:r>
                        <w:rPr>
                          <w:color w:val="2E74B5" w:themeColor="accent1" w:themeShade="BF"/>
                          <w:sz w:val="28"/>
                        </w:rPr>
                        <w:t xml:space="preserve">.   </w:t>
                      </w:r>
                    </w:p>
                    <w:p w:rsidR="00CF3D39" w:rsidRDefault="00CF3D39" w:rsidP="00CF3D39"/>
                  </w:txbxContent>
                </v:textbox>
                <w10:wrap type="tight"/>
              </v:shape>
            </w:pict>
          </mc:Fallback>
        </mc:AlternateContent>
      </w:r>
    </w:p>
    <w:sectPr w:rsidR="00CF3D39" w:rsidRPr="00CF3D39" w:rsidSect="00417280">
      <w:head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11C4" w:rsidRDefault="003711C4" w:rsidP="003711C4">
      <w:pPr>
        <w:spacing w:after="0" w:line="240" w:lineRule="auto"/>
      </w:pPr>
      <w:r>
        <w:separator/>
      </w:r>
    </w:p>
  </w:endnote>
  <w:endnote w:type="continuationSeparator" w:id="0">
    <w:p w:rsidR="003711C4" w:rsidRDefault="003711C4" w:rsidP="00371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11C4" w:rsidRDefault="003711C4" w:rsidP="003711C4">
      <w:pPr>
        <w:spacing w:after="0" w:line="240" w:lineRule="auto"/>
      </w:pPr>
      <w:r>
        <w:separator/>
      </w:r>
    </w:p>
  </w:footnote>
  <w:footnote w:type="continuationSeparator" w:id="0">
    <w:p w:rsidR="003711C4" w:rsidRDefault="003711C4" w:rsidP="003711C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11C4" w:rsidRDefault="00DF45C9" w:rsidP="00417280">
    <w:pPr>
      <w:pStyle w:val="Header"/>
      <w:jc w:val="center"/>
    </w:pPr>
    <w:r>
      <w:t>Wilderness Wanderings 08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493615A"/>
    <w:multiLevelType w:val="hybridMultilevel"/>
    <w:tmpl w:val="28E09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1"/>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24B"/>
    <w:rsid w:val="000A0F79"/>
    <w:rsid w:val="000A2164"/>
    <w:rsid w:val="001B192D"/>
    <w:rsid w:val="001C61E0"/>
    <w:rsid w:val="001D2D4F"/>
    <w:rsid w:val="002077F5"/>
    <w:rsid w:val="00220735"/>
    <w:rsid w:val="0028524D"/>
    <w:rsid w:val="003711C4"/>
    <w:rsid w:val="00417280"/>
    <w:rsid w:val="00436A3F"/>
    <w:rsid w:val="00462330"/>
    <w:rsid w:val="00484138"/>
    <w:rsid w:val="004945B1"/>
    <w:rsid w:val="00526732"/>
    <w:rsid w:val="0054118F"/>
    <w:rsid w:val="006225F3"/>
    <w:rsid w:val="006326AA"/>
    <w:rsid w:val="006800E6"/>
    <w:rsid w:val="006D2326"/>
    <w:rsid w:val="006E0D0F"/>
    <w:rsid w:val="006E2418"/>
    <w:rsid w:val="00731C44"/>
    <w:rsid w:val="0076124B"/>
    <w:rsid w:val="0076624F"/>
    <w:rsid w:val="00773159"/>
    <w:rsid w:val="007879C6"/>
    <w:rsid w:val="0080065F"/>
    <w:rsid w:val="00800FF8"/>
    <w:rsid w:val="00893C51"/>
    <w:rsid w:val="009C3A2A"/>
    <w:rsid w:val="009C7561"/>
    <w:rsid w:val="009F6C04"/>
    <w:rsid w:val="00AD7EA5"/>
    <w:rsid w:val="00B31FB0"/>
    <w:rsid w:val="00BF3916"/>
    <w:rsid w:val="00C6600F"/>
    <w:rsid w:val="00CA715D"/>
    <w:rsid w:val="00CF3D39"/>
    <w:rsid w:val="00D257FB"/>
    <w:rsid w:val="00D708AC"/>
    <w:rsid w:val="00D94FE2"/>
    <w:rsid w:val="00DB1115"/>
    <w:rsid w:val="00DF45C9"/>
    <w:rsid w:val="00EF267A"/>
    <w:rsid w:val="00F036A8"/>
    <w:rsid w:val="00F72695"/>
    <w:rsid w:val="00F8763D"/>
    <w:rsid w:val="00FA76DD"/>
    <w:rsid w:val="00FD2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chartTrackingRefBased/>
  <w15:docId w15:val="{79ABEAE7-876B-4169-B418-41A423B6F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711C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11C4"/>
  </w:style>
  <w:style w:type="paragraph" w:styleId="Footer">
    <w:name w:val="footer"/>
    <w:basedOn w:val="Normal"/>
    <w:link w:val="FooterChar"/>
    <w:uiPriority w:val="99"/>
    <w:unhideWhenUsed/>
    <w:rsid w:val="003711C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11C4"/>
  </w:style>
  <w:style w:type="paragraph" w:styleId="BalloonText">
    <w:name w:val="Balloon Text"/>
    <w:basedOn w:val="Normal"/>
    <w:link w:val="BalloonTextChar"/>
    <w:uiPriority w:val="99"/>
    <w:semiHidden/>
    <w:unhideWhenUsed/>
    <w:rsid w:val="00FA7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6DD"/>
    <w:rPr>
      <w:rFonts w:ascii="Segoe UI" w:hAnsi="Segoe UI" w:cs="Segoe UI"/>
      <w:sz w:val="18"/>
      <w:szCs w:val="18"/>
    </w:rPr>
  </w:style>
  <w:style w:type="paragraph" w:styleId="ListParagraph">
    <w:name w:val="List Paragraph"/>
    <w:basedOn w:val="Normal"/>
    <w:uiPriority w:val="34"/>
    <w:qFormat/>
    <w:rsid w:val="00CF3D3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27851C-7214-4384-BDE4-6AA9D00364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Pages>
  <Words>825</Words>
  <Characters>4707</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6</cp:revision>
  <cp:lastPrinted>2020-08-26T16:02:00Z</cp:lastPrinted>
  <dcterms:created xsi:type="dcterms:W3CDTF">2020-09-02T18:53:00Z</dcterms:created>
  <dcterms:modified xsi:type="dcterms:W3CDTF">2020-09-16T20:29:00Z</dcterms:modified>
</cp:coreProperties>
</file>