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FF8" w:rsidRPr="003711C4" w:rsidRDefault="003711C4" w:rsidP="003711C4">
      <w:pPr>
        <w:jc w:val="center"/>
        <w:rPr>
          <w:b/>
          <w:sz w:val="32"/>
        </w:rPr>
      </w:pPr>
      <w:r w:rsidRPr="003711C4">
        <w:rPr>
          <w:b/>
          <w:sz w:val="32"/>
        </w:rPr>
        <w:t xml:space="preserve">The Israelites in the Wilderness Discussion </w:t>
      </w:r>
      <w:r w:rsidR="001B192D">
        <w:rPr>
          <w:b/>
          <w:sz w:val="32"/>
        </w:rPr>
        <w:t xml:space="preserve"># </w:t>
      </w:r>
      <w:r w:rsidR="003936FB">
        <w:rPr>
          <w:b/>
          <w:sz w:val="32"/>
        </w:rPr>
        <w:t>1</w:t>
      </w:r>
      <w:r w:rsidR="00B7037D">
        <w:rPr>
          <w:b/>
          <w:sz w:val="32"/>
        </w:rPr>
        <w:t>5</w:t>
      </w:r>
      <w:r w:rsidR="00DF45C9">
        <w:rPr>
          <w:b/>
          <w:sz w:val="32"/>
        </w:rPr>
        <w:t xml:space="preserve">—Prepare for </w:t>
      </w:r>
      <w:r w:rsidR="00B7037D">
        <w:rPr>
          <w:b/>
          <w:sz w:val="32"/>
        </w:rPr>
        <w:t>11</w:t>
      </w:r>
      <w:r w:rsidR="003A1871">
        <w:rPr>
          <w:b/>
          <w:sz w:val="32"/>
        </w:rPr>
        <w:t>/</w:t>
      </w:r>
      <w:r w:rsidR="00B7037D">
        <w:rPr>
          <w:b/>
          <w:sz w:val="32"/>
        </w:rPr>
        <w:t>4</w:t>
      </w:r>
      <w:r w:rsidR="001B192D">
        <w:rPr>
          <w:b/>
          <w:sz w:val="32"/>
        </w:rPr>
        <w:t>/20</w:t>
      </w:r>
    </w:p>
    <w:p w:rsidR="003711C4" w:rsidRDefault="003711C4" w:rsidP="003711C4">
      <w:pPr>
        <w:jc w:val="center"/>
        <w:rPr>
          <w:sz w:val="32"/>
        </w:rPr>
      </w:pPr>
      <w:r>
        <w:rPr>
          <w:sz w:val="32"/>
        </w:rPr>
        <w:t xml:space="preserve">Read:  </w:t>
      </w:r>
      <w:r w:rsidR="003A1871">
        <w:rPr>
          <w:b/>
          <w:sz w:val="32"/>
          <w:u w:val="single"/>
        </w:rPr>
        <w:t xml:space="preserve">Numbers </w:t>
      </w:r>
      <w:r w:rsidR="009D6F52">
        <w:rPr>
          <w:b/>
          <w:sz w:val="32"/>
          <w:u w:val="single"/>
        </w:rPr>
        <w:t>32</w:t>
      </w:r>
    </w:p>
    <w:p w:rsidR="00AD7EA5" w:rsidRPr="009C3A2A" w:rsidRDefault="009D6F52" w:rsidP="00AD7EA5">
      <w:pPr>
        <w:spacing w:line="276" w:lineRule="auto"/>
        <w:rPr>
          <w:b/>
          <w:sz w:val="28"/>
        </w:rPr>
      </w:pPr>
      <w:r>
        <w:rPr>
          <w:b/>
          <w:sz w:val="28"/>
        </w:rPr>
        <w:t xml:space="preserve">What is it exactly that the </w:t>
      </w:r>
      <w:proofErr w:type="spellStart"/>
      <w:r>
        <w:rPr>
          <w:b/>
          <w:sz w:val="28"/>
        </w:rPr>
        <w:t>Reubenites</w:t>
      </w:r>
      <w:proofErr w:type="spellEnd"/>
      <w:r>
        <w:rPr>
          <w:b/>
          <w:sz w:val="28"/>
        </w:rPr>
        <w:t xml:space="preserve"> and </w:t>
      </w:r>
      <w:proofErr w:type="spellStart"/>
      <w:r>
        <w:rPr>
          <w:b/>
          <w:sz w:val="28"/>
        </w:rPr>
        <w:t>Gadites</w:t>
      </w:r>
      <w:proofErr w:type="spellEnd"/>
      <w:r>
        <w:rPr>
          <w:b/>
          <w:sz w:val="28"/>
        </w:rPr>
        <w:t xml:space="preserve"> want, in verses 1-5?  Why?  </w:t>
      </w:r>
    </w:p>
    <w:p w:rsidR="00417280" w:rsidRDefault="001C503A" w:rsidP="009C3A2A">
      <w:pPr>
        <w:spacing w:line="276" w:lineRule="auto"/>
        <w:rPr>
          <w:sz w:val="28"/>
        </w:rPr>
      </w:pPr>
      <w:r>
        <w:rPr>
          <w:sz w:val="28"/>
        </w:rPr>
        <w:t xml:space="preserve">They wanted to settle in the land of “Gilead,” east of the Jordan.  These particular tribes had “a very great multitude of cattle,” that is, grazing animals, in comparison to the other Israelite tribes.  And this particular region “was a place for cattle.”  That is, it was excellent grazing land.  Thus they desired to inherit this land east of the Jordan rather than land in Canaan.  It also had the virtue of immediacy!  This land was already conquered, and available for habitation.  </w:t>
      </w:r>
    </w:p>
    <w:p w:rsidR="00AD7EA5" w:rsidRPr="009C3A2A" w:rsidRDefault="009D6F52" w:rsidP="00AD7EA5">
      <w:pPr>
        <w:spacing w:line="276" w:lineRule="auto"/>
        <w:rPr>
          <w:b/>
          <w:sz w:val="28"/>
        </w:rPr>
      </w:pPr>
      <w:r>
        <w:rPr>
          <w:b/>
          <w:sz w:val="28"/>
        </w:rPr>
        <w:t xml:space="preserve">How does Moses react?  What is his reasoning?  (Verses 6-15)  </w:t>
      </w:r>
    </w:p>
    <w:p w:rsidR="00417280" w:rsidRDefault="00B237E7" w:rsidP="009C3A2A">
      <w:pPr>
        <w:spacing w:line="276" w:lineRule="auto"/>
        <w:rPr>
          <w:sz w:val="28"/>
        </w:rPr>
      </w:pPr>
      <w:r>
        <w:rPr>
          <w:sz w:val="28"/>
        </w:rPr>
        <w:t xml:space="preserve">Moses was greatly disturbed by this appeal.  He asks if they intend to sit in safety while their “brethren,” the other tribes, go to war.  And he points out the negative effect that such a course would have on the morale of the rest of the Israelites.  Moses feared that the action of the two tribes would lead the other tribes to refuse to cross the Jordan.  The effect would be much like that of the faithless report of the spies that resulted in a whole generation perishing in the wilderness.  Moses suggests that, as they did 40 years previously, the rest of the people might then refuse to go over Jordan and consolidate their claim on Canaan.  </w:t>
      </w:r>
      <w:r w:rsidR="008B645C">
        <w:rPr>
          <w:sz w:val="28"/>
        </w:rPr>
        <w:t xml:space="preserve">The concern is that the current generation of Israelites might repeat their parents’ history.  Since that history proved to be so disastrous—a forty-year delay and the death in the wilderness of nearly the entire generation—it makes sense that Moses was </w:t>
      </w:r>
      <w:r w:rsidR="00D32084">
        <w:rPr>
          <w:sz w:val="28"/>
        </w:rPr>
        <w:t xml:space="preserve">anxious not to repeat it.  Perhaps it’s only surprising that the people weren’t more anxious to avoid a repeat of such a disaster!  </w:t>
      </w:r>
    </w:p>
    <w:p w:rsidR="009C3A2A" w:rsidRPr="009C3A2A" w:rsidRDefault="009D6F52" w:rsidP="009C3A2A">
      <w:pPr>
        <w:spacing w:line="276" w:lineRule="auto"/>
        <w:rPr>
          <w:b/>
          <w:sz w:val="28"/>
        </w:rPr>
      </w:pPr>
      <w:r>
        <w:rPr>
          <w:b/>
          <w:sz w:val="28"/>
        </w:rPr>
        <w:t xml:space="preserve">What do they propose in verses 16-19?  Is this a good plan?  Why or why not?  </w:t>
      </w:r>
    </w:p>
    <w:p w:rsidR="009C3A2A" w:rsidRDefault="00B237E7" w:rsidP="009C3A2A">
      <w:pPr>
        <w:spacing w:line="276" w:lineRule="auto"/>
        <w:rPr>
          <w:sz w:val="28"/>
        </w:rPr>
      </w:pPr>
      <w:r>
        <w:rPr>
          <w:sz w:val="28"/>
        </w:rPr>
        <w:t xml:space="preserve">They propose to “build cities” for their families to stay, but state that they themselves will go and fight to establish the Israelites in Canaan.  This was a promise not to delay in any way the crossing of the Jordan, but to act as a forward unit or advance guard before the main host.  They further promised to stay by their duty to the nation until the conquest of Canaan was completed.  The “cities” in which they intended to leave their families were probably repaired Amorite dwellings already established.  A weakness of this plan was that their women and children, and their cattle and sheep, could scarcely be left in a newly conquered, hostile territory without a strong, well-armed force to protect them.  </w:t>
      </w:r>
      <w:r w:rsidR="008B645C">
        <w:rPr>
          <w:sz w:val="28"/>
        </w:rPr>
        <w:t xml:space="preserve">No doubt the tribes of Gad and Reuben thought that they could easily (and rapidly) defeat the Canaanites, and return quickly to their families east of Jordan.  Even at that, however, leaving their women and children in hostile territory, even temporarily, without protection seems rather unwise.  </w:t>
      </w:r>
    </w:p>
    <w:p w:rsidR="006805D7" w:rsidRPr="00593211" w:rsidRDefault="009D6F52" w:rsidP="00417280">
      <w:pPr>
        <w:spacing w:line="276" w:lineRule="auto"/>
        <w:rPr>
          <w:b/>
          <w:sz w:val="28"/>
        </w:rPr>
      </w:pPr>
      <w:r>
        <w:rPr>
          <w:b/>
          <w:sz w:val="28"/>
        </w:rPr>
        <w:lastRenderedPageBreak/>
        <w:t xml:space="preserve">How does Moses react to this commitment in verses 20-24?  </w:t>
      </w:r>
    </w:p>
    <w:p w:rsidR="00417280" w:rsidRDefault="00D32084" w:rsidP="00417280">
      <w:pPr>
        <w:spacing w:line="276" w:lineRule="auto"/>
        <w:rPr>
          <w:sz w:val="28"/>
        </w:rPr>
      </w:pPr>
      <w:r>
        <w:rPr>
          <w:sz w:val="28"/>
        </w:rPr>
        <w:t xml:space="preserve">Moses accepts this promise.  If they would go and fight for land in Canaan for the other Israelites, and promise to fight until the “land be subdued before the Lord,” then Moses gives permission for them to inherit land on the east side of the Jordan.  And he gives permission that they might “build cities,” (or at least repair them) for their families as they had suggested.  Of course, all of this depends on them keeping their promises.  If they did not, then they would have “sinned against the Lord.”  And there are always consequences for that sort of thing!  But basically Moses accepts their proposition and gives permission to do as they have said.  To which these men reply that they will do “as my lord </w:t>
      </w:r>
      <w:proofErr w:type="spellStart"/>
      <w:r>
        <w:rPr>
          <w:sz w:val="28"/>
        </w:rPr>
        <w:t>commandeth</w:t>
      </w:r>
      <w:proofErr w:type="spellEnd"/>
      <w:r>
        <w:rPr>
          <w:sz w:val="28"/>
        </w:rPr>
        <w:t xml:space="preserve">.”  This is a typically Eastern touch, as that which Moses stated was precisely what they themselves had suggested.  </w:t>
      </w:r>
    </w:p>
    <w:p w:rsidR="00593211" w:rsidRPr="009C3A2A" w:rsidRDefault="00D556FA" w:rsidP="00593211">
      <w:pPr>
        <w:spacing w:line="276" w:lineRule="auto"/>
        <w:rPr>
          <w:b/>
          <w:sz w:val="28"/>
        </w:rPr>
      </w:pPr>
      <w:r>
        <w:rPr>
          <w:b/>
          <w:sz w:val="28"/>
        </w:rPr>
        <w:t xml:space="preserve">What agreement was reached?  Who participated?  </w:t>
      </w:r>
    </w:p>
    <w:p w:rsidR="00D32084" w:rsidRDefault="00D32084" w:rsidP="00417280">
      <w:pPr>
        <w:spacing w:line="276" w:lineRule="auto"/>
        <w:rPr>
          <w:sz w:val="28"/>
        </w:rPr>
      </w:pPr>
      <w:r>
        <w:rPr>
          <w:sz w:val="28"/>
        </w:rPr>
        <w:t xml:space="preserve">The leaders of the tribes of Reuben and Gad reaffirmed their promises to Moses in the presence of </w:t>
      </w:r>
      <w:proofErr w:type="spellStart"/>
      <w:r>
        <w:rPr>
          <w:sz w:val="28"/>
        </w:rPr>
        <w:t>Eleazar</w:t>
      </w:r>
      <w:proofErr w:type="spellEnd"/>
      <w:r>
        <w:rPr>
          <w:sz w:val="28"/>
        </w:rPr>
        <w:t xml:space="preserve"> the priest, Joshua, and “the chief fathers of the tribes of the children of Israel.”  This would be necessary as Moses was soon to die (as God had warned), and these were the people who would know whether or not these leaders kept their promises.  </w:t>
      </w:r>
      <w:r w:rsidR="001B2055">
        <w:rPr>
          <w:sz w:val="28"/>
        </w:rPr>
        <w:t xml:space="preserve">So the agreement was as the leaders of Reuben and Gad had planned.  It turns out that they kept their word, and lawfully inherited land on the east side of the Jordan.  </w:t>
      </w:r>
    </w:p>
    <w:p w:rsidR="00D85353" w:rsidRDefault="00D85353" w:rsidP="00417280">
      <w:pPr>
        <w:spacing w:line="276" w:lineRule="auto"/>
        <w:rPr>
          <w:sz w:val="28"/>
        </w:rPr>
      </w:pPr>
      <w:bookmarkStart w:id="0" w:name="_GoBack"/>
      <w:bookmarkEnd w:id="0"/>
      <w:r>
        <w:rPr>
          <w:noProof/>
          <w:sz w:val="28"/>
        </w:rPr>
        <mc:AlternateContent>
          <mc:Choice Requires="wps">
            <w:drawing>
              <wp:anchor distT="0" distB="0" distL="114300" distR="114300" simplePos="0" relativeHeight="251659264" behindDoc="1" locked="0" layoutInCell="1" allowOverlap="1" wp14:anchorId="4B2E582C" wp14:editId="4BF95D89">
                <wp:simplePos x="0" y="0"/>
                <wp:positionH relativeFrom="column">
                  <wp:posOffset>-125730</wp:posOffset>
                </wp:positionH>
                <wp:positionV relativeFrom="paragraph">
                  <wp:posOffset>374650</wp:posOffset>
                </wp:positionV>
                <wp:extent cx="7059295" cy="2096135"/>
                <wp:effectExtent l="19050" t="19050" r="27305" b="18415"/>
                <wp:wrapTight wrapText="bothSides">
                  <wp:wrapPolygon edited="0">
                    <wp:start x="-58" y="-196"/>
                    <wp:lineTo x="-58" y="21593"/>
                    <wp:lineTo x="21625" y="21593"/>
                    <wp:lineTo x="21625" y="-196"/>
                    <wp:lineTo x="-58" y="-196"/>
                  </wp:wrapPolygon>
                </wp:wrapTight>
                <wp:docPr id="1" name="Text Box 1"/>
                <wp:cNvGraphicFramePr/>
                <a:graphic xmlns:a="http://schemas.openxmlformats.org/drawingml/2006/main">
                  <a:graphicData uri="http://schemas.microsoft.com/office/word/2010/wordprocessingShape">
                    <wps:wsp>
                      <wps:cNvSpPr txBox="1"/>
                      <wps:spPr>
                        <a:xfrm>
                          <a:off x="0" y="0"/>
                          <a:ext cx="7059295" cy="2096135"/>
                        </a:xfrm>
                        <a:prstGeom prst="rect">
                          <a:avLst/>
                        </a:prstGeom>
                        <a:solidFill>
                          <a:sysClr val="window" lastClr="FFFFFF"/>
                        </a:solidFill>
                        <a:ln w="28575">
                          <a:solidFill>
                            <a:srgbClr val="5B9BD5">
                              <a:lumMod val="75000"/>
                            </a:srgbClr>
                          </a:solidFill>
                        </a:ln>
                        <a:effectLst/>
                      </wps:spPr>
                      <wps:txbx>
                        <w:txbxContent>
                          <w:p w:rsidR="00D85353" w:rsidRPr="00417280" w:rsidRDefault="00D85353" w:rsidP="00D85353">
                            <w:pPr>
                              <w:spacing w:line="276" w:lineRule="auto"/>
                              <w:rPr>
                                <w:b/>
                                <w:color w:val="2E74B5" w:themeColor="accent1" w:themeShade="BF"/>
                                <w:sz w:val="28"/>
                              </w:rPr>
                            </w:pPr>
                            <w:r w:rsidRPr="00417280">
                              <w:rPr>
                                <w:b/>
                                <w:color w:val="2E74B5" w:themeColor="accent1" w:themeShade="BF"/>
                                <w:sz w:val="28"/>
                              </w:rPr>
                              <w:t xml:space="preserve">Notes and Observations:  </w:t>
                            </w:r>
                          </w:p>
                          <w:p w:rsidR="00D85353" w:rsidRDefault="001B2055" w:rsidP="001B2055">
                            <w:pPr>
                              <w:pStyle w:val="ListParagraph"/>
                              <w:numPr>
                                <w:ilvl w:val="0"/>
                                <w:numId w:val="1"/>
                              </w:numPr>
                              <w:rPr>
                                <w:color w:val="2E74B5" w:themeColor="accent1" w:themeShade="BF"/>
                                <w:sz w:val="28"/>
                              </w:rPr>
                            </w:pPr>
                            <w:r>
                              <w:rPr>
                                <w:color w:val="2E74B5" w:themeColor="accent1" w:themeShade="BF"/>
                                <w:sz w:val="28"/>
                              </w:rPr>
                              <w:t xml:space="preserve">The half tribe of Manasseh had cooperated in the conquest of Gilead, and possibly even subdued certain portions of it unaided.  They were known as warriors.  So they too were granted a possession in Gilead.  </w:t>
                            </w:r>
                          </w:p>
                          <w:p w:rsidR="001B2055" w:rsidRPr="001B2055" w:rsidRDefault="001B2055" w:rsidP="001B2055">
                            <w:pPr>
                              <w:pStyle w:val="ListParagraph"/>
                              <w:numPr>
                                <w:ilvl w:val="0"/>
                                <w:numId w:val="1"/>
                              </w:numPr>
                              <w:rPr>
                                <w:color w:val="2E74B5" w:themeColor="accent1" w:themeShade="BF"/>
                                <w:sz w:val="28"/>
                              </w:rPr>
                            </w:pPr>
                            <w:r>
                              <w:rPr>
                                <w:color w:val="2E74B5" w:themeColor="accent1" w:themeShade="BF"/>
                                <w:sz w:val="28"/>
                              </w:rPr>
                              <w:t xml:space="preserve">The “building” of the cities described in this chapter must have been more in the nature of repairing the ravages of war.  The inhabitants had been destroyed, but not the cities.  And these walled cities were to be protection for the women and children to be left behind.  </w:t>
                            </w:r>
                          </w:p>
                          <w:p w:rsidR="001B2055" w:rsidRDefault="001B2055" w:rsidP="00D853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2E582C" id="_x0000_t202" coordsize="21600,21600" o:spt="202" path="m,l,21600r21600,l21600,xe">
                <v:stroke joinstyle="miter"/>
                <v:path gradientshapeok="t" o:connecttype="rect"/>
              </v:shapetype>
              <v:shape id="Text Box 1" o:spid="_x0000_s1026" type="#_x0000_t202" style="position:absolute;margin-left:-9.9pt;margin-top:29.5pt;width:555.85pt;height:165.0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" fillcolor="window" strokecolor="#2e75b6" strokeweight="2.25pt">
                <v:textbox>
                  <w:txbxContent>
                    <w:p w:rsidR="00D85353" w:rsidRPr="00417280" w:rsidRDefault="00D85353" w:rsidP="00D85353">
                      <w:pPr>
                        <w:spacing w:line="276" w:lineRule="auto"/>
                        <w:rPr>
                          <w:b/>
                          <w:color w:val="2E74B5" w:themeColor="accent1" w:themeShade="BF"/>
                          <w:sz w:val="28"/>
                        </w:rPr>
                      </w:pPr>
                      <w:r w:rsidRPr="00417280">
                        <w:rPr>
                          <w:b/>
                          <w:color w:val="2E74B5" w:themeColor="accent1" w:themeShade="BF"/>
                          <w:sz w:val="28"/>
                        </w:rPr>
                        <w:t xml:space="preserve">Notes and Observations:  </w:t>
                      </w:r>
                    </w:p>
                    <w:p w:rsidR="00D85353" w:rsidRDefault="001B2055" w:rsidP="001B2055">
                      <w:pPr>
                        <w:pStyle w:val="ListParagraph"/>
                        <w:numPr>
                          <w:ilvl w:val="0"/>
                          <w:numId w:val="1"/>
                        </w:numPr>
                        <w:rPr>
                          <w:color w:val="2E74B5" w:themeColor="accent1" w:themeShade="BF"/>
                          <w:sz w:val="28"/>
                        </w:rPr>
                      </w:pPr>
                      <w:r>
                        <w:rPr>
                          <w:color w:val="2E74B5" w:themeColor="accent1" w:themeShade="BF"/>
                          <w:sz w:val="28"/>
                        </w:rPr>
                        <w:t xml:space="preserve">The half tribe of Manasseh had cooperated in the conquest of Gilead, and possibly even subdued certain portions of it unaided.  They were known as warriors.  So they too were granted a possession in Gilead.  </w:t>
                      </w:r>
                    </w:p>
                    <w:p w:rsidR="001B2055" w:rsidRPr="001B2055" w:rsidRDefault="001B2055" w:rsidP="001B2055">
                      <w:pPr>
                        <w:pStyle w:val="ListParagraph"/>
                        <w:numPr>
                          <w:ilvl w:val="0"/>
                          <w:numId w:val="1"/>
                        </w:numPr>
                        <w:rPr>
                          <w:color w:val="2E74B5" w:themeColor="accent1" w:themeShade="BF"/>
                          <w:sz w:val="28"/>
                        </w:rPr>
                      </w:pPr>
                      <w:r>
                        <w:rPr>
                          <w:color w:val="2E74B5" w:themeColor="accent1" w:themeShade="BF"/>
                          <w:sz w:val="28"/>
                        </w:rPr>
                        <w:t xml:space="preserve">The “building” of the cities described in this chapter must have been more in the nature of repairing the ravages of war.  The inhabitants had been destroyed, but not the cities.  And these walled cities were to be protection for the women and children to be left behind.  </w:t>
                      </w:r>
                    </w:p>
                    <w:p w:rsidR="001B2055" w:rsidRDefault="001B2055" w:rsidP="00D85353"/>
                  </w:txbxContent>
                </v:textbox>
                <w10:wrap type="tight"/>
              </v:shape>
            </w:pict>
          </mc:Fallback>
        </mc:AlternateContent>
      </w:r>
    </w:p>
    <w:sectPr w:rsidR="00D85353" w:rsidSect="00417280">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1C4" w:rsidRDefault="003711C4" w:rsidP="003711C4">
      <w:pPr>
        <w:spacing w:after="0" w:line="240" w:lineRule="auto"/>
      </w:pPr>
      <w:r>
        <w:separator/>
      </w:r>
    </w:p>
  </w:endnote>
  <w:endnote w:type="continuationSeparator" w:id="0">
    <w:p w:rsidR="003711C4" w:rsidRDefault="003711C4" w:rsidP="00371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1C4" w:rsidRDefault="003711C4" w:rsidP="003711C4">
      <w:pPr>
        <w:spacing w:after="0" w:line="240" w:lineRule="auto"/>
      </w:pPr>
      <w:r>
        <w:separator/>
      </w:r>
    </w:p>
  </w:footnote>
  <w:footnote w:type="continuationSeparator" w:id="0">
    <w:p w:rsidR="003711C4" w:rsidRDefault="003711C4" w:rsidP="003711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1C4" w:rsidRDefault="003A1871" w:rsidP="00417280">
    <w:pPr>
      <w:pStyle w:val="Header"/>
      <w:jc w:val="center"/>
    </w:pPr>
    <w:r>
      <w:t>Wilderness Wandering</w:t>
    </w:r>
    <w:r w:rsidR="00F2790C">
      <w:t>s 1</w:t>
    </w:r>
    <w:r w:rsidR="00B7037D">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290D45"/>
    <w:multiLevelType w:val="hybridMultilevel"/>
    <w:tmpl w:val="66D08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4B"/>
    <w:rsid w:val="00016E7C"/>
    <w:rsid w:val="000A0F79"/>
    <w:rsid w:val="000A2164"/>
    <w:rsid w:val="00135A28"/>
    <w:rsid w:val="001B192D"/>
    <w:rsid w:val="001B2055"/>
    <w:rsid w:val="001C503A"/>
    <w:rsid w:val="001C61E0"/>
    <w:rsid w:val="001D2D4F"/>
    <w:rsid w:val="00220735"/>
    <w:rsid w:val="003711C4"/>
    <w:rsid w:val="003936FB"/>
    <w:rsid w:val="003A1871"/>
    <w:rsid w:val="003E34EE"/>
    <w:rsid w:val="003F3601"/>
    <w:rsid w:val="00400317"/>
    <w:rsid w:val="00417280"/>
    <w:rsid w:val="00436A3F"/>
    <w:rsid w:val="00462330"/>
    <w:rsid w:val="004736C8"/>
    <w:rsid w:val="004945B1"/>
    <w:rsid w:val="00535E61"/>
    <w:rsid w:val="00583D69"/>
    <w:rsid w:val="00593211"/>
    <w:rsid w:val="00604A64"/>
    <w:rsid w:val="006225F3"/>
    <w:rsid w:val="0062636A"/>
    <w:rsid w:val="006326AA"/>
    <w:rsid w:val="006800E6"/>
    <w:rsid w:val="006805D7"/>
    <w:rsid w:val="006D2326"/>
    <w:rsid w:val="006E0D0F"/>
    <w:rsid w:val="006E2418"/>
    <w:rsid w:val="00722566"/>
    <w:rsid w:val="00731C44"/>
    <w:rsid w:val="0076124B"/>
    <w:rsid w:val="0076624F"/>
    <w:rsid w:val="00773159"/>
    <w:rsid w:val="007879C6"/>
    <w:rsid w:val="0080065F"/>
    <w:rsid w:val="00800FF8"/>
    <w:rsid w:val="00890091"/>
    <w:rsid w:val="00893C51"/>
    <w:rsid w:val="008A0C24"/>
    <w:rsid w:val="008B645C"/>
    <w:rsid w:val="0090216A"/>
    <w:rsid w:val="0093146D"/>
    <w:rsid w:val="009C3595"/>
    <w:rsid w:val="009C3A2A"/>
    <w:rsid w:val="009C7561"/>
    <w:rsid w:val="009D6F52"/>
    <w:rsid w:val="009F6C04"/>
    <w:rsid w:val="00A4399D"/>
    <w:rsid w:val="00A74A10"/>
    <w:rsid w:val="00AD7EA5"/>
    <w:rsid w:val="00B05798"/>
    <w:rsid w:val="00B237E7"/>
    <w:rsid w:val="00B31FB0"/>
    <w:rsid w:val="00B7037D"/>
    <w:rsid w:val="00BD7745"/>
    <w:rsid w:val="00BF3916"/>
    <w:rsid w:val="00C54E5B"/>
    <w:rsid w:val="00C653BA"/>
    <w:rsid w:val="00C6600F"/>
    <w:rsid w:val="00D257FB"/>
    <w:rsid w:val="00D32084"/>
    <w:rsid w:val="00D556FA"/>
    <w:rsid w:val="00D708AC"/>
    <w:rsid w:val="00D85353"/>
    <w:rsid w:val="00D94FE2"/>
    <w:rsid w:val="00DB1115"/>
    <w:rsid w:val="00DF45C9"/>
    <w:rsid w:val="00EF267A"/>
    <w:rsid w:val="00F036A8"/>
    <w:rsid w:val="00F2790C"/>
    <w:rsid w:val="00F72695"/>
    <w:rsid w:val="00F8763D"/>
    <w:rsid w:val="00FA76DD"/>
    <w:rsid w:val="00FD22AD"/>
    <w:rsid w:val="00FD5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chartTrackingRefBased/>
  <w15:docId w15:val="{79ABEAE7-876B-4169-B418-41A423B6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1C4"/>
  </w:style>
  <w:style w:type="paragraph" w:styleId="Footer">
    <w:name w:val="footer"/>
    <w:basedOn w:val="Normal"/>
    <w:link w:val="FooterChar"/>
    <w:uiPriority w:val="99"/>
    <w:unhideWhenUsed/>
    <w:rsid w:val="00371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1C4"/>
  </w:style>
  <w:style w:type="paragraph" w:styleId="BalloonText">
    <w:name w:val="Balloon Text"/>
    <w:basedOn w:val="Normal"/>
    <w:link w:val="BalloonTextChar"/>
    <w:uiPriority w:val="99"/>
    <w:semiHidden/>
    <w:unhideWhenUsed/>
    <w:rsid w:val="00FA7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6DD"/>
    <w:rPr>
      <w:rFonts w:ascii="Segoe UI" w:hAnsi="Segoe UI" w:cs="Segoe UI"/>
      <w:sz w:val="18"/>
      <w:szCs w:val="18"/>
    </w:rPr>
  </w:style>
  <w:style w:type="paragraph" w:styleId="ListParagraph">
    <w:name w:val="List Paragraph"/>
    <w:basedOn w:val="Normal"/>
    <w:uiPriority w:val="34"/>
    <w:qFormat/>
    <w:rsid w:val="001B20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8A884-3FD0-476D-B964-FD6BEF234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Pages>
  <Words>645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2020-10-28T21:58:00Z</cp:lastPrinted>
  <dcterms:created xsi:type="dcterms:W3CDTF">2020-11-04T19:42:00Z</dcterms:created>
  <dcterms:modified xsi:type="dcterms:W3CDTF">2020-11-04T23:26:00Z</dcterms:modified>
</cp:coreProperties>
</file>